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Pr="00CB3CB2" w:rsidRDefault="002A2632" w:rsidP="008447A8">
      <w:pPr>
        <w:jc w:val="right"/>
        <w:rPr>
          <w:sz w:val="28"/>
          <w:szCs w:val="28"/>
          <w:u w:val="single"/>
          <w:lang w:val="en-US"/>
        </w:rPr>
      </w:pPr>
      <w:r w:rsidRPr="00CB3CB2">
        <w:rPr>
          <w:sz w:val="28"/>
          <w:szCs w:val="28"/>
          <w:u w:val="single"/>
        </w:rPr>
        <w:t>ПРОЕКТ</w:t>
      </w:r>
      <w:r w:rsidR="00121EBD" w:rsidRPr="00CB3CB2">
        <w:rPr>
          <w:sz w:val="28"/>
          <w:szCs w:val="28"/>
          <w:u w:val="single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Pr="002A2632">
        <w:rPr>
          <w:sz w:val="28"/>
          <w:szCs w:val="28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AC3516">
        <w:rPr>
          <w:b/>
          <w:bCs/>
          <w:sz w:val="28"/>
          <w:szCs w:val="28"/>
        </w:rPr>
        <w:t>__________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857159">
        <w:rPr>
          <w:b/>
          <w:bCs/>
          <w:sz w:val="28"/>
          <w:szCs w:val="28"/>
        </w:rPr>
        <w:t>3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AC3516">
        <w:rPr>
          <w:b/>
          <w:bCs/>
          <w:sz w:val="28"/>
          <w:szCs w:val="28"/>
        </w:rPr>
        <w:t>____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900B08">
        <w:rPr>
          <w:sz w:val="28"/>
          <w:szCs w:val="28"/>
        </w:rPr>
        <w:t>Югры</w:t>
      </w:r>
      <w:proofErr w:type="spellEnd"/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85715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AE484C">
        <w:rPr>
          <w:sz w:val="28"/>
          <w:szCs w:val="28"/>
        </w:rPr>
        <w:t>5 103 259,7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AE484C">
        <w:rPr>
          <w:sz w:val="28"/>
          <w:szCs w:val="28"/>
        </w:rPr>
        <w:t>5 204 964,3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AE484C">
        <w:rPr>
          <w:sz w:val="28"/>
          <w:szCs w:val="28"/>
        </w:rPr>
        <w:t>101 704,6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года в сумме </w:t>
      </w:r>
      <w:r w:rsidR="00AE484C">
        <w:rPr>
          <w:sz w:val="28"/>
          <w:szCs w:val="28"/>
        </w:rPr>
        <w:t>101 704,6</w:t>
      </w:r>
      <w:r w:rsidR="00FF5586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и 202</w:t>
      </w:r>
      <w:r w:rsidR="00857159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857159">
        <w:rPr>
          <w:sz w:val="28"/>
          <w:szCs w:val="28"/>
        </w:rPr>
        <w:t>3</w:t>
      </w:r>
      <w:r w:rsidR="00C477AB">
        <w:rPr>
          <w:sz w:val="28"/>
          <w:szCs w:val="28"/>
        </w:rPr>
        <w:t> </w:t>
      </w:r>
      <w:r w:rsidR="00857159">
        <w:rPr>
          <w:sz w:val="28"/>
          <w:szCs w:val="28"/>
        </w:rPr>
        <w:t>589</w:t>
      </w:r>
      <w:r w:rsidR="00C477AB">
        <w:rPr>
          <w:sz w:val="28"/>
          <w:szCs w:val="28"/>
        </w:rPr>
        <w:t> 774,4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3 626 028,9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C477A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C477AB">
        <w:rPr>
          <w:sz w:val="28"/>
          <w:szCs w:val="28"/>
        </w:rPr>
        <w:t>3 692 515,4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3 730 459,0</w:t>
      </w:r>
      <w:r w:rsidRPr="0037322D">
        <w:rPr>
          <w:sz w:val="28"/>
          <w:szCs w:val="28"/>
        </w:rPr>
        <w:t xml:space="preserve"> тыс. рублей, в том </w:t>
      </w:r>
      <w:r w:rsidRPr="0037322D">
        <w:rPr>
          <w:sz w:val="28"/>
          <w:szCs w:val="28"/>
        </w:rPr>
        <w:lastRenderedPageBreak/>
        <w:t>числе условно утвержденные расходы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43 604,1</w:t>
      </w:r>
      <w:r w:rsidRPr="0037322D">
        <w:rPr>
          <w:sz w:val="28"/>
          <w:szCs w:val="28"/>
        </w:rPr>
        <w:t xml:space="preserve"> тыс. рублей и на 202</w:t>
      </w:r>
      <w:r w:rsidR="006F14E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88 994,1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102 741,0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C477AB">
        <w:rPr>
          <w:sz w:val="28"/>
          <w:szCs w:val="28"/>
        </w:rPr>
        <w:t>104 430,1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C477AB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204 445,6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C477AB">
        <w:rPr>
          <w:sz w:val="28"/>
          <w:szCs w:val="28"/>
        </w:rPr>
        <w:t>7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308 875,7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C477AB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год и на плановый период 202</w:t>
      </w:r>
      <w:r w:rsidR="00C477AB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C477A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495579">
        <w:rPr>
          <w:color w:val="000000" w:themeColor="text1"/>
          <w:sz w:val="28"/>
          <w:szCs w:val="28"/>
        </w:rPr>
        <w:t>12 409,9</w:t>
      </w:r>
      <w:r w:rsidR="00BF5D92" w:rsidRPr="00495579">
        <w:rPr>
          <w:color w:val="000000" w:themeColor="text1"/>
          <w:sz w:val="28"/>
          <w:szCs w:val="28"/>
        </w:rPr>
        <w:t xml:space="preserve"> </w:t>
      </w:r>
      <w:r w:rsidRPr="00495579">
        <w:rPr>
          <w:color w:val="000000" w:themeColor="text1"/>
          <w:sz w:val="28"/>
          <w:szCs w:val="28"/>
        </w:rPr>
        <w:t>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lastRenderedPageBreak/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C477A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495579">
        <w:rPr>
          <w:color w:val="000000" w:themeColor="text1"/>
          <w:sz w:val="28"/>
          <w:szCs w:val="28"/>
        </w:rPr>
        <w:t>13 701,0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C477AB" w:rsidRPr="00495579">
        <w:rPr>
          <w:color w:val="000000" w:themeColor="text1"/>
          <w:sz w:val="28"/>
          <w:szCs w:val="28"/>
        </w:rPr>
        <w:t>6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495579">
        <w:rPr>
          <w:color w:val="000000" w:themeColor="text1"/>
          <w:sz w:val="28"/>
          <w:szCs w:val="28"/>
        </w:rPr>
        <w:t>15 050,6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F14E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495579">
        <w:rPr>
          <w:color w:val="000000" w:themeColor="text1"/>
          <w:sz w:val="28"/>
          <w:szCs w:val="28"/>
        </w:rPr>
        <w:t>3 869 547,7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6F14E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2 378 160,8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6F14EB" w:rsidRPr="00495579">
        <w:rPr>
          <w:color w:val="000000" w:themeColor="text1"/>
          <w:sz w:val="28"/>
          <w:szCs w:val="28"/>
        </w:rPr>
        <w:t>6</w:t>
      </w:r>
      <w:r w:rsidR="00121EBD" w:rsidRPr="00495579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2 392 382,6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F156B4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669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834EC7">
        <w:rPr>
          <w:color w:val="000000" w:themeColor="text1"/>
          <w:sz w:val="28"/>
          <w:szCs w:val="28"/>
        </w:rPr>
        <w:t>78 884,8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32 456,5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32 516,5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834EC7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>7 357,</w:t>
      </w:r>
      <w:r w:rsidR="00834EC7">
        <w:rPr>
          <w:sz w:val="28"/>
          <w:szCs w:val="28"/>
        </w:rPr>
        <w:t>4</w:t>
      </w:r>
      <w:r w:rsidR="00690E0C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834EC7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834EC7">
        <w:rPr>
          <w:sz w:val="28"/>
          <w:szCs w:val="28"/>
        </w:rPr>
        <w:t>6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834EC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5E0ABA" w:rsidRPr="00A466D2" w:rsidRDefault="005E0ABA" w:rsidP="005E0A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>
        <w:rPr>
          <w:color w:val="000000"/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на </w:t>
      </w:r>
      <w:r w:rsidRPr="00A466D2">
        <w:rPr>
          <w:color w:val="000000"/>
          <w:sz w:val="28"/>
          <w:szCs w:val="28"/>
        </w:rPr>
        <w:lastRenderedPageBreak/>
        <w:t>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</w:t>
      </w:r>
      <w:r w:rsidRP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кредитов в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- 202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. Утвердить программу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13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</w:t>
      </w:r>
      <w:r w:rsidRPr="00077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 </w:t>
      </w:r>
      <w:r>
        <w:rPr>
          <w:color w:val="000000"/>
          <w:sz w:val="28"/>
          <w:szCs w:val="28"/>
        </w:rPr>
        <w:t>14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</w:t>
      </w:r>
      <w:r w:rsidR="000B185C">
        <w:rPr>
          <w:color w:val="000000"/>
          <w:sz w:val="28"/>
          <w:szCs w:val="28"/>
        </w:rPr>
        <w:t>4</w:t>
      </w:r>
      <w:r w:rsidR="003E7994">
        <w:rPr>
          <w:color w:val="000000"/>
          <w:sz w:val="28"/>
          <w:szCs w:val="28"/>
        </w:rPr>
        <w:t xml:space="preserve"> году изменения в показатели сводной бюджетной росписи бюджета города </w:t>
      </w:r>
      <w:proofErr w:type="gramStart"/>
      <w:r w:rsidR="003E7994">
        <w:rPr>
          <w:color w:val="000000"/>
          <w:sz w:val="28"/>
          <w:szCs w:val="28"/>
        </w:rPr>
        <w:t>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proofErr w:type="gramEnd"/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</w:t>
      </w: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9F1D6D" w:rsidRDefault="009F1D6D" w:rsidP="009F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 xml:space="preserve">Учесть, что доходы бюджета города Урай, поступающие от платы за негативное воздействие на окружающую среду, от штрафов, установленных </w:t>
      </w:r>
      <w:hyperlink r:id="rId9" w:history="1">
        <w:r w:rsidRPr="009F1D6D">
          <w:rPr>
            <w:color w:val="000000" w:themeColor="text1"/>
            <w:sz w:val="28"/>
            <w:szCs w:val="28"/>
          </w:rPr>
          <w:t>Кодексом</w:t>
        </w:r>
      </w:hyperlink>
      <w:r w:rsidRPr="009F1D6D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законом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мероприятия, указанные в </w:t>
      </w:r>
      <w:hyperlink r:id="rId10" w:history="1">
        <w:r w:rsidRPr="009F1D6D">
          <w:rPr>
            <w:color w:val="000000" w:themeColor="text1"/>
            <w:sz w:val="28"/>
            <w:szCs w:val="28"/>
          </w:rPr>
          <w:t>пункте 1 статьи 16.6</w:t>
        </w:r>
      </w:hyperlink>
      <w:r w:rsidRPr="009F1D6D">
        <w:rPr>
          <w:color w:val="000000" w:themeColor="text1"/>
          <w:sz w:val="28"/>
          <w:szCs w:val="28"/>
        </w:rPr>
        <w:t xml:space="preserve">, в </w:t>
      </w:r>
      <w:hyperlink r:id="rId11" w:history="1">
        <w:r w:rsidRPr="009F1D6D">
          <w:rPr>
            <w:color w:val="000000" w:themeColor="text1"/>
            <w:sz w:val="28"/>
            <w:szCs w:val="28"/>
          </w:rPr>
          <w:t>пункте 1 статьи 75.1</w:t>
        </w:r>
      </w:hyperlink>
      <w:r w:rsidRPr="009F1D6D">
        <w:rPr>
          <w:color w:val="000000" w:themeColor="text1"/>
          <w:sz w:val="28"/>
          <w:szCs w:val="28"/>
        </w:rPr>
        <w:t xml:space="preserve"> и в </w:t>
      </w:r>
      <w:hyperlink r:id="rId12" w:history="1">
        <w:r w:rsidRPr="009F1D6D">
          <w:rPr>
            <w:color w:val="000000" w:themeColor="text1"/>
            <w:sz w:val="28"/>
            <w:szCs w:val="28"/>
          </w:rPr>
          <w:t>пункте 1 статьи 78.2</w:t>
        </w:r>
      </w:hyperlink>
      <w:r w:rsidRPr="009F1D6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 января 2002 года</w:t>
      </w:r>
      <w:proofErr w:type="gramEnd"/>
      <w:r>
        <w:rPr>
          <w:sz w:val="28"/>
          <w:szCs w:val="28"/>
        </w:rPr>
        <w:t xml:space="preserve"> N 7-ФЗ "Об охране окружающей среды".</w:t>
      </w:r>
    </w:p>
    <w:p w:rsidR="00121EBD" w:rsidRPr="007C17F8" w:rsidRDefault="009F1D6D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7F8">
        <w:rPr>
          <w:sz w:val="28"/>
          <w:szCs w:val="28"/>
        </w:rPr>
        <w:t xml:space="preserve">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</w:t>
      </w:r>
      <w:r w:rsidR="001A5AA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1A5AA0">
        <w:rPr>
          <w:sz w:val="28"/>
          <w:szCs w:val="28"/>
        </w:rPr>
        <w:t xml:space="preserve"> в соответствии со статьей 242.27 Бюджетно</w:t>
      </w:r>
      <w:r w:rsidR="00BF7572">
        <w:rPr>
          <w:sz w:val="28"/>
          <w:szCs w:val="28"/>
        </w:rPr>
        <w:t>го кодекса Российской Федерации.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BF7572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121EBD" w:rsidRDefault="00121EBD" w:rsidP="00AC35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2C3E71" w:rsidRPr="00305B57" w:rsidRDefault="002C3E71" w:rsidP="00AC3516">
            <w:pPr>
              <w:rPr>
                <w:sz w:val="28"/>
                <w:szCs w:val="28"/>
              </w:rPr>
            </w:pPr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2A20C0" w:rsidP="00BF75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E75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BF7572">
              <w:rPr>
                <w:sz w:val="28"/>
                <w:szCs w:val="28"/>
              </w:rPr>
              <w:t>3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C90EC7"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A0" w:rsidRDefault="001A5AA0" w:rsidP="00E45B85">
      <w:r>
        <w:separator/>
      </w:r>
    </w:p>
  </w:endnote>
  <w:endnote w:type="continuationSeparator" w:id="0">
    <w:p w:rsidR="001A5AA0" w:rsidRDefault="001A5AA0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A0" w:rsidRDefault="001A5AA0" w:rsidP="00E45B85">
      <w:r>
        <w:separator/>
      </w:r>
    </w:p>
  </w:footnote>
  <w:footnote w:type="continuationSeparator" w:id="0">
    <w:p w:rsidR="001A5AA0" w:rsidRDefault="001A5AA0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185C"/>
    <w:rsid w:val="000B52EF"/>
    <w:rsid w:val="000C3AD1"/>
    <w:rsid w:val="000C5794"/>
    <w:rsid w:val="000C5C10"/>
    <w:rsid w:val="000C6F97"/>
    <w:rsid w:val="000D7AF1"/>
    <w:rsid w:val="000E2222"/>
    <w:rsid w:val="000E6791"/>
    <w:rsid w:val="000F0451"/>
    <w:rsid w:val="00100CCC"/>
    <w:rsid w:val="00101907"/>
    <w:rsid w:val="00106376"/>
    <w:rsid w:val="001132A8"/>
    <w:rsid w:val="00121EBD"/>
    <w:rsid w:val="001221AD"/>
    <w:rsid w:val="00126FF2"/>
    <w:rsid w:val="00134F3E"/>
    <w:rsid w:val="001375E8"/>
    <w:rsid w:val="00144300"/>
    <w:rsid w:val="00147E7F"/>
    <w:rsid w:val="00181517"/>
    <w:rsid w:val="001A0A09"/>
    <w:rsid w:val="001A4E3E"/>
    <w:rsid w:val="001A5AA0"/>
    <w:rsid w:val="001D32CF"/>
    <w:rsid w:val="001E08B4"/>
    <w:rsid w:val="001E57A2"/>
    <w:rsid w:val="001F539B"/>
    <w:rsid w:val="00207AE3"/>
    <w:rsid w:val="00222B01"/>
    <w:rsid w:val="0023706C"/>
    <w:rsid w:val="002433F8"/>
    <w:rsid w:val="00244B46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7008"/>
    <w:rsid w:val="0035222B"/>
    <w:rsid w:val="0035483B"/>
    <w:rsid w:val="003570BC"/>
    <w:rsid w:val="003660FD"/>
    <w:rsid w:val="0037322D"/>
    <w:rsid w:val="00375A12"/>
    <w:rsid w:val="003A6826"/>
    <w:rsid w:val="003B3CE6"/>
    <w:rsid w:val="003B4E63"/>
    <w:rsid w:val="003C046D"/>
    <w:rsid w:val="003E7994"/>
    <w:rsid w:val="00406C1F"/>
    <w:rsid w:val="00424874"/>
    <w:rsid w:val="00434213"/>
    <w:rsid w:val="00447F5F"/>
    <w:rsid w:val="00461CC4"/>
    <w:rsid w:val="0048668D"/>
    <w:rsid w:val="00495579"/>
    <w:rsid w:val="004A0247"/>
    <w:rsid w:val="004D2559"/>
    <w:rsid w:val="004E04C4"/>
    <w:rsid w:val="004E674B"/>
    <w:rsid w:val="004F7877"/>
    <w:rsid w:val="00500ACA"/>
    <w:rsid w:val="00516B49"/>
    <w:rsid w:val="00563742"/>
    <w:rsid w:val="00567AE9"/>
    <w:rsid w:val="005713F1"/>
    <w:rsid w:val="00571C5D"/>
    <w:rsid w:val="005A2A77"/>
    <w:rsid w:val="005A4927"/>
    <w:rsid w:val="005D1366"/>
    <w:rsid w:val="005E0ABA"/>
    <w:rsid w:val="005E457D"/>
    <w:rsid w:val="00602995"/>
    <w:rsid w:val="00630218"/>
    <w:rsid w:val="006405A3"/>
    <w:rsid w:val="00641CBE"/>
    <w:rsid w:val="00651EE6"/>
    <w:rsid w:val="00671AA1"/>
    <w:rsid w:val="006857C7"/>
    <w:rsid w:val="00690E0C"/>
    <w:rsid w:val="006A1BE5"/>
    <w:rsid w:val="006B08C6"/>
    <w:rsid w:val="006B2E90"/>
    <w:rsid w:val="006C6871"/>
    <w:rsid w:val="006C7EF7"/>
    <w:rsid w:val="006D3B8F"/>
    <w:rsid w:val="006E43B1"/>
    <w:rsid w:val="006F14EB"/>
    <w:rsid w:val="00700FE9"/>
    <w:rsid w:val="00701B17"/>
    <w:rsid w:val="00732AE3"/>
    <w:rsid w:val="00761849"/>
    <w:rsid w:val="00762BFA"/>
    <w:rsid w:val="007842A0"/>
    <w:rsid w:val="00786F32"/>
    <w:rsid w:val="007B07F7"/>
    <w:rsid w:val="007C17F8"/>
    <w:rsid w:val="007C3F80"/>
    <w:rsid w:val="007D4008"/>
    <w:rsid w:val="007D48D5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34EC7"/>
    <w:rsid w:val="008447A8"/>
    <w:rsid w:val="00857159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A1447"/>
    <w:rsid w:val="009E0FCE"/>
    <w:rsid w:val="009F1D6D"/>
    <w:rsid w:val="00A02039"/>
    <w:rsid w:val="00A11485"/>
    <w:rsid w:val="00A411A8"/>
    <w:rsid w:val="00A465F0"/>
    <w:rsid w:val="00A466D2"/>
    <w:rsid w:val="00A669E9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E484C"/>
    <w:rsid w:val="00AE54BE"/>
    <w:rsid w:val="00AF275B"/>
    <w:rsid w:val="00B120D8"/>
    <w:rsid w:val="00B278F7"/>
    <w:rsid w:val="00B443FF"/>
    <w:rsid w:val="00B4548A"/>
    <w:rsid w:val="00B607A6"/>
    <w:rsid w:val="00B7123B"/>
    <w:rsid w:val="00B75266"/>
    <w:rsid w:val="00B818FC"/>
    <w:rsid w:val="00BB091A"/>
    <w:rsid w:val="00BC2EE7"/>
    <w:rsid w:val="00BC62A2"/>
    <w:rsid w:val="00BC71D5"/>
    <w:rsid w:val="00BD1C82"/>
    <w:rsid w:val="00BF0EDA"/>
    <w:rsid w:val="00BF5D92"/>
    <w:rsid w:val="00BF7572"/>
    <w:rsid w:val="00C16729"/>
    <w:rsid w:val="00C35BCC"/>
    <w:rsid w:val="00C443EC"/>
    <w:rsid w:val="00C477AB"/>
    <w:rsid w:val="00C70022"/>
    <w:rsid w:val="00C90EC7"/>
    <w:rsid w:val="00CA3BEB"/>
    <w:rsid w:val="00CB2EEF"/>
    <w:rsid w:val="00CB3CB2"/>
    <w:rsid w:val="00CB5FBD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22B3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3C2C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A2143"/>
    <w:rsid w:val="00FC42B3"/>
    <w:rsid w:val="00FC7A59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24917A36BF7B6173BE9C4D0424855FB18E52CEF7B46FA835096E19D8D2BE7AAE0DBA015272E63BD1EBF9917AEF748B9D58EB9EC7B2D2006p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24917A36BF7B6173BE9C4D0424855FB18E52CEF7B46FA835096E19D8D2BE7AAE0DBA015272E6CB11EBF9917AEF748B9D58EB9EC7B2D2006p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924917A36BF7B6173BE9C4D0424855FB18E52CEF7B46FA835096E19D8D2BE7AAE0DBA015262A60ED44AF9D5EF8FB55B9CB91BBF27B02p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24917A36BF7B6173BE9C4D0424855FB1BE12CEB7F46FA835096E19D8D2BE7B8E083AC1626376AB90BE9C8510Fp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63EC1-E808-47C7-A47D-0C81E92F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15</cp:revision>
  <cp:lastPrinted>2022-10-29T09:34:00Z</cp:lastPrinted>
  <dcterms:created xsi:type="dcterms:W3CDTF">2022-10-29T07:51:00Z</dcterms:created>
  <dcterms:modified xsi:type="dcterms:W3CDTF">2023-11-02T09:11:00Z</dcterms:modified>
</cp:coreProperties>
</file>