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7" w:rsidRPr="00E03515" w:rsidRDefault="00121EBD" w:rsidP="00594CE4">
      <w:pPr>
        <w:jc w:val="center"/>
        <w:rPr>
          <w:sz w:val="28"/>
          <w:szCs w:val="28"/>
        </w:rPr>
      </w:pP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594CE4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594CE4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21EBD" w:rsidP="00594CE4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594CE4">
      <w:pPr>
        <w:jc w:val="center"/>
        <w:rPr>
          <w:b/>
          <w:sz w:val="28"/>
          <w:szCs w:val="28"/>
        </w:rPr>
      </w:pPr>
    </w:p>
    <w:p w:rsidR="00121EBD" w:rsidRPr="00D32503" w:rsidRDefault="00121EBD" w:rsidP="00594CE4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B354D1" w:rsidRPr="00B354D1">
        <w:rPr>
          <w:b/>
          <w:bCs/>
          <w:sz w:val="28"/>
          <w:szCs w:val="28"/>
        </w:rPr>
        <w:t>3 декабря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AC3516">
        <w:rPr>
          <w:b/>
          <w:bCs/>
          <w:sz w:val="28"/>
          <w:szCs w:val="28"/>
        </w:rPr>
        <w:t>1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</w:t>
      </w:r>
      <w:r w:rsidR="00B354D1">
        <w:rPr>
          <w:b/>
          <w:bCs/>
          <w:sz w:val="28"/>
          <w:szCs w:val="28"/>
        </w:rPr>
        <w:t xml:space="preserve">        </w:t>
      </w:r>
      <w:r w:rsidRPr="00E03515">
        <w:rPr>
          <w:b/>
          <w:bCs/>
          <w:sz w:val="28"/>
          <w:szCs w:val="28"/>
        </w:rPr>
        <w:t>№</w:t>
      </w:r>
      <w:r w:rsidR="00B354D1">
        <w:rPr>
          <w:b/>
          <w:bCs/>
          <w:sz w:val="28"/>
          <w:szCs w:val="28"/>
        </w:rPr>
        <w:t xml:space="preserve"> 29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AC3516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932020" w:rsidRPr="00513EA5">
        <w:rPr>
          <w:sz w:val="28"/>
          <w:szCs w:val="28"/>
        </w:rPr>
        <w:t>3</w:t>
      </w:r>
      <w:r w:rsidR="002D4F07" w:rsidRPr="00513EA5">
        <w:rPr>
          <w:sz w:val="28"/>
          <w:szCs w:val="28"/>
          <w:lang w:val="en-US"/>
        </w:rPr>
        <w:t> </w:t>
      </w:r>
      <w:r w:rsidR="002D4F07" w:rsidRPr="00513EA5">
        <w:rPr>
          <w:sz w:val="28"/>
          <w:szCs w:val="28"/>
        </w:rPr>
        <w:t>478 177,2</w:t>
      </w:r>
      <w:r w:rsidRPr="0037322D">
        <w:rPr>
          <w:sz w:val="28"/>
          <w:szCs w:val="28"/>
        </w:rPr>
        <w:t xml:space="preserve"> тыс. рублей согласно приложению 1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932020">
        <w:rPr>
          <w:sz w:val="28"/>
          <w:szCs w:val="28"/>
        </w:rPr>
        <w:t>3 567</w:t>
      </w:r>
      <w:r w:rsidR="0064093B">
        <w:rPr>
          <w:sz w:val="28"/>
          <w:szCs w:val="28"/>
        </w:rPr>
        <w:t> </w:t>
      </w:r>
      <w:r w:rsidR="0064093B" w:rsidRPr="0064093B">
        <w:rPr>
          <w:sz w:val="28"/>
          <w:szCs w:val="28"/>
        </w:rPr>
        <w:t>536</w:t>
      </w:r>
      <w:r w:rsidR="0064093B">
        <w:rPr>
          <w:sz w:val="28"/>
          <w:szCs w:val="28"/>
        </w:rPr>
        <w:t>,0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AC3516">
        <w:rPr>
          <w:sz w:val="28"/>
          <w:szCs w:val="28"/>
        </w:rPr>
        <w:t>89 358,</w:t>
      </w:r>
      <w:r w:rsidR="0082557F" w:rsidRPr="0082557F">
        <w:rPr>
          <w:sz w:val="28"/>
          <w:szCs w:val="28"/>
        </w:rPr>
        <w:t>8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года в сумме </w:t>
      </w:r>
      <w:r w:rsidR="0082557F" w:rsidRPr="0082557F">
        <w:rPr>
          <w:sz w:val="28"/>
          <w:szCs w:val="28"/>
        </w:rPr>
        <w:t>89</w:t>
      </w:r>
      <w:r w:rsidR="0082557F">
        <w:rPr>
          <w:sz w:val="28"/>
          <w:szCs w:val="28"/>
        </w:rPr>
        <w:t> </w:t>
      </w:r>
      <w:r w:rsidR="0082557F" w:rsidRPr="0082557F">
        <w:rPr>
          <w:sz w:val="28"/>
          <w:szCs w:val="28"/>
        </w:rPr>
        <w:t>358</w:t>
      </w:r>
      <w:r w:rsidR="0082557F">
        <w:rPr>
          <w:sz w:val="28"/>
          <w:szCs w:val="28"/>
        </w:rPr>
        <w:t>,8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и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447F5F">
        <w:rPr>
          <w:sz w:val="28"/>
          <w:szCs w:val="28"/>
        </w:rPr>
        <w:t>3 251 201,0</w:t>
      </w:r>
      <w:r w:rsidRPr="0037322D">
        <w:rPr>
          <w:sz w:val="28"/>
          <w:szCs w:val="28"/>
        </w:rPr>
        <w:t xml:space="preserve"> 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AC3516" w:rsidRPr="0064093B">
        <w:rPr>
          <w:sz w:val="28"/>
          <w:szCs w:val="28"/>
        </w:rPr>
        <w:t>3</w:t>
      </w:r>
      <w:r w:rsidR="001A4E3E" w:rsidRPr="0064093B">
        <w:rPr>
          <w:sz w:val="28"/>
          <w:szCs w:val="28"/>
        </w:rPr>
        <w:t> </w:t>
      </w:r>
      <w:r w:rsidR="00AC3516" w:rsidRPr="0064093B">
        <w:rPr>
          <w:sz w:val="28"/>
          <w:szCs w:val="28"/>
        </w:rPr>
        <w:t>294</w:t>
      </w:r>
      <w:r w:rsidR="002D4F07" w:rsidRPr="0064093B">
        <w:rPr>
          <w:sz w:val="28"/>
          <w:szCs w:val="28"/>
        </w:rPr>
        <w:t> 251,2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447F5F">
        <w:rPr>
          <w:sz w:val="28"/>
          <w:szCs w:val="28"/>
        </w:rPr>
        <w:t xml:space="preserve">3 343 281,5 </w:t>
      </w:r>
      <w:r w:rsidRPr="0037322D">
        <w:rPr>
          <w:sz w:val="28"/>
          <w:szCs w:val="28"/>
        </w:rPr>
        <w:t xml:space="preserve"> тыс. рублей и на 202</w:t>
      </w:r>
      <w:r w:rsidR="00567A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4093B">
        <w:rPr>
          <w:sz w:val="28"/>
          <w:szCs w:val="28"/>
        </w:rPr>
        <w:t>3 386 705,0</w:t>
      </w:r>
      <w:r w:rsidRPr="0037322D">
        <w:rPr>
          <w:sz w:val="28"/>
          <w:szCs w:val="28"/>
        </w:rPr>
        <w:t xml:space="preserve"> тыс. рублей, в том </w:t>
      </w:r>
      <w:r w:rsidRPr="0037322D">
        <w:rPr>
          <w:sz w:val="28"/>
          <w:szCs w:val="28"/>
        </w:rPr>
        <w:lastRenderedPageBreak/>
        <w:t>числе условно утвержденные расходы на 202</w:t>
      </w:r>
      <w:r w:rsidR="00B818FC" w:rsidRPr="00B818FC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B818FC" w:rsidRPr="00B818FC">
        <w:rPr>
          <w:sz w:val="28"/>
          <w:szCs w:val="28"/>
        </w:rPr>
        <w:t>38</w:t>
      </w:r>
      <w:r w:rsidR="00B818FC">
        <w:rPr>
          <w:sz w:val="28"/>
          <w:szCs w:val="28"/>
        </w:rPr>
        <w:t> </w:t>
      </w:r>
      <w:r w:rsidR="00B818FC" w:rsidRPr="00B818FC">
        <w:rPr>
          <w:sz w:val="28"/>
          <w:szCs w:val="28"/>
        </w:rPr>
        <w:t>809</w:t>
      </w:r>
      <w:r w:rsidR="00B818FC">
        <w:rPr>
          <w:sz w:val="28"/>
          <w:szCs w:val="28"/>
        </w:rPr>
        <w:t>,7</w:t>
      </w:r>
      <w:r w:rsidRPr="0037322D">
        <w:rPr>
          <w:sz w:val="28"/>
          <w:szCs w:val="28"/>
        </w:rPr>
        <w:t xml:space="preserve"> тыс. рублей и на 202</w:t>
      </w:r>
      <w:r w:rsidR="00B818FC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79 346,8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8666FA">
        <w:rPr>
          <w:sz w:val="28"/>
          <w:szCs w:val="28"/>
        </w:rPr>
        <w:t>92 080,5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AC3516">
        <w:rPr>
          <w:sz w:val="28"/>
          <w:szCs w:val="28"/>
        </w:rPr>
        <w:t>92</w:t>
      </w:r>
      <w:r w:rsidR="00602995">
        <w:rPr>
          <w:sz w:val="28"/>
          <w:szCs w:val="28"/>
        </w:rPr>
        <w:t xml:space="preserve"> </w:t>
      </w:r>
      <w:r w:rsidR="00AC3516">
        <w:rPr>
          <w:sz w:val="28"/>
          <w:szCs w:val="28"/>
        </w:rPr>
        <w:t>453,</w:t>
      </w:r>
      <w:r w:rsidR="00602995">
        <w:rPr>
          <w:sz w:val="28"/>
          <w:szCs w:val="28"/>
        </w:rPr>
        <w:t>8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AC3516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F76ECC" w:rsidRPr="0048668D">
        <w:rPr>
          <w:sz w:val="28"/>
          <w:szCs w:val="28"/>
        </w:rPr>
        <w:t>181 439,3</w:t>
      </w:r>
      <w:r w:rsidR="00602995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  и по состоянию на 1 января 202</w:t>
      </w:r>
      <w:r w:rsidR="00AC3516">
        <w:rPr>
          <w:sz w:val="28"/>
          <w:szCs w:val="28"/>
        </w:rPr>
        <w:t>5</w:t>
      </w:r>
      <w:r w:rsidRPr="000C5794">
        <w:rPr>
          <w:sz w:val="28"/>
          <w:szCs w:val="28"/>
        </w:rPr>
        <w:t xml:space="preserve"> года в сумме </w:t>
      </w:r>
      <w:r w:rsidR="00F76ECC" w:rsidRPr="0048668D">
        <w:rPr>
          <w:sz w:val="28"/>
          <w:szCs w:val="28"/>
        </w:rPr>
        <w:t>273 893,1</w:t>
      </w:r>
      <w:r w:rsidR="00F76ECC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</w:t>
      </w:r>
      <w:r w:rsidR="00461CC4" w:rsidRPr="00461CC4">
        <w:rPr>
          <w:sz w:val="28"/>
          <w:szCs w:val="28"/>
        </w:rPr>
        <w:t>0</w:t>
      </w:r>
      <w:r w:rsidR="00461CC4">
        <w:rPr>
          <w:sz w:val="28"/>
          <w:szCs w:val="28"/>
        </w:rPr>
        <w:t>,0</w:t>
      </w:r>
      <w:proofErr w:type="gramEnd"/>
      <w:r w:rsidRPr="000C5794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272D00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Pr="00E03515">
        <w:rPr>
          <w:sz w:val="28"/>
          <w:szCs w:val="28"/>
        </w:rPr>
        <w:t xml:space="preserve"> к настоящему решению.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2022 год и на плановый период 2023 и 2024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lastRenderedPageBreak/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BF5D92" w:rsidRPr="00BF5D92">
        <w:rPr>
          <w:sz w:val="28"/>
          <w:szCs w:val="28"/>
        </w:rPr>
        <w:t>109</w:t>
      </w:r>
      <w:r w:rsidR="00BF5D92">
        <w:rPr>
          <w:sz w:val="28"/>
          <w:szCs w:val="28"/>
          <w:lang w:val="en-US"/>
        </w:rPr>
        <w:t> </w:t>
      </w:r>
      <w:r w:rsidR="00BF5D92" w:rsidRPr="00BF5D92">
        <w:rPr>
          <w:sz w:val="28"/>
          <w:szCs w:val="28"/>
        </w:rPr>
        <w:t>247</w:t>
      </w:r>
      <w:r w:rsidR="00BF5D92">
        <w:rPr>
          <w:sz w:val="28"/>
          <w:szCs w:val="28"/>
        </w:rPr>
        <w:t xml:space="preserve">,4 </w:t>
      </w:r>
      <w:r w:rsidRPr="007E2ED6">
        <w:rPr>
          <w:sz w:val="28"/>
          <w:szCs w:val="28"/>
        </w:rPr>
        <w:t>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BF5D92">
        <w:rPr>
          <w:sz w:val="28"/>
          <w:szCs w:val="28"/>
        </w:rPr>
        <w:t>109 507,3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bookmarkStart w:id="0" w:name="_GoBack"/>
      <w:bookmarkEnd w:id="0"/>
      <w:r w:rsidR="00BF5D92">
        <w:rPr>
          <w:sz w:val="28"/>
          <w:szCs w:val="28"/>
        </w:rPr>
        <w:t>109 456,1</w:t>
      </w:r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64093B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2D4F07" w:rsidRPr="0064093B">
        <w:rPr>
          <w:sz w:val="28"/>
          <w:szCs w:val="28"/>
        </w:rPr>
        <w:t>2 395 834,9</w:t>
      </w:r>
      <w:r w:rsidRPr="0064093B">
        <w:rPr>
          <w:sz w:val="28"/>
          <w:szCs w:val="28"/>
        </w:rPr>
        <w:t xml:space="preserve"> тыс. рублей;</w:t>
      </w:r>
    </w:p>
    <w:p w:rsidR="00121EBD" w:rsidRPr="0064093B" w:rsidRDefault="00121EBD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2) на 202</w:t>
      </w:r>
      <w:r w:rsidR="00A97C74" w:rsidRPr="0064093B">
        <w:rPr>
          <w:sz w:val="28"/>
          <w:szCs w:val="28"/>
        </w:rPr>
        <w:t>3</w:t>
      </w:r>
      <w:r w:rsidRPr="0064093B">
        <w:rPr>
          <w:sz w:val="28"/>
          <w:szCs w:val="28"/>
        </w:rPr>
        <w:t xml:space="preserve"> год в сумме </w:t>
      </w:r>
      <w:r w:rsidR="00602995" w:rsidRPr="0064093B">
        <w:rPr>
          <w:sz w:val="28"/>
          <w:szCs w:val="28"/>
        </w:rPr>
        <w:t>2 173 940,2</w:t>
      </w:r>
      <w:r w:rsidRPr="0064093B">
        <w:rPr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3) на 202</w:t>
      </w:r>
      <w:r w:rsidR="00A97C74" w:rsidRPr="0064093B">
        <w:rPr>
          <w:sz w:val="28"/>
          <w:szCs w:val="28"/>
        </w:rPr>
        <w:t>4</w:t>
      </w:r>
      <w:r w:rsidR="00121EBD" w:rsidRPr="0064093B">
        <w:rPr>
          <w:sz w:val="28"/>
          <w:szCs w:val="28"/>
        </w:rPr>
        <w:t xml:space="preserve"> год в сумме </w:t>
      </w:r>
      <w:r w:rsidR="002D4F07" w:rsidRPr="0064093B">
        <w:rPr>
          <w:sz w:val="28"/>
          <w:szCs w:val="28"/>
        </w:rPr>
        <w:t>2 204 429,3</w:t>
      </w:r>
      <w:r w:rsidR="00121EBD" w:rsidRPr="007E2ED6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Pr="0037322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602995">
        <w:rPr>
          <w:sz w:val="28"/>
          <w:szCs w:val="28"/>
        </w:rPr>
        <w:t>27 700,</w:t>
      </w:r>
      <w:r w:rsidR="00AF275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28 575,8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28 720,4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8A09C5" w:rsidRPr="008A09C5">
        <w:rPr>
          <w:sz w:val="28"/>
          <w:szCs w:val="28"/>
        </w:rPr>
        <w:t>11</w:t>
      </w:r>
      <w:r w:rsidR="002433F8">
        <w:rPr>
          <w:sz w:val="28"/>
          <w:szCs w:val="28"/>
        </w:rPr>
        <w:t xml:space="preserve"> 110,5</w:t>
      </w:r>
      <w:r w:rsidR="00307008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0348DB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A97C74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 xml:space="preserve">лиц, замещающих муниципальные должности, должности муниципальной службы, а также работников органов местного самоуправления города Урай </w:t>
      </w:r>
    </w:p>
    <w:p w:rsidR="00121EBD" w:rsidRPr="00E03515" w:rsidRDefault="00F611DB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="00121EBD"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Pr="00A466D2">
        <w:rPr>
          <w:color w:val="000000"/>
          <w:sz w:val="28"/>
          <w:szCs w:val="28"/>
        </w:rPr>
        <w:t>функций (</w:t>
      </w:r>
      <w:r w:rsidR="00121EBD" w:rsidRPr="00A466D2">
        <w:rPr>
          <w:color w:val="000000"/>
          <w:sz w:val="28"/>
          <w:szCs w:val="28"/>
        </w:rPr>
        <w:t>полномочий</w:t>
      </w:r>
      <w:r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="00121EBD"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="00121EBD" w:rsidRPr="00E03515">
        <w:rPr>
          <w:color w:val="000000"/>
          <w:sz w:val="28"/>
          <w:szCs w:val="28"/>
        </w:rPr>
        <w:t xml:space="preserve">   </w:t>
      </w:r>
      <w:r w:rsidR="00121EBD" w:rsidRPr="00E03515">
        <w:rPr>
          <w:b/>
          <w:color w:val="000000"/>
          <w:sz w:val="28"/>
          <w:szCs w:val="28"/>
        </w:rPr>
        <w:t xml:space="preserve"> </w:t>
      </w:r>
    </w:p>
    <w:p w:rsidR="00DD710C" w:rsidRPr="00247592" w:rsidRDefault="00DD710C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lastRenderedPageBreak/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2022 год и на плановый период  2023 и 202</w:t>
      </w:r>
      <w:r w:rsidR="00222B01" w:rsidRPr="002D4F07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Бюджетного Кодекса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 кредитов в 202</w:t>
      </w:r>
      <w:r w:rsidR="00A97C74" w:rsidRPr="00A466D2">
        <w:rPr>
          <w:color w:val="000000"/>
          <w:sz w:val="28"/>
          <w:szCs w:val="28"/>
        </w:rPr>
        <w:t>2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A97C74" w:rsidRPr="00A466D2">
        <w:rPr>
          <w:color w:val="000000"/>
          <w:sz w:val="28"/>
          <w:szCs w:val="28"/>
        </w:rPr>
        <w:t>4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A97C74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A97C74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A97C74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2A20C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2A20C0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A466D2" w:rsidRDefault="000348DB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>
        <w:rPr>
          <w:color w:val="000000"/>
          <w:sz w:val="28"/>
          <w:szCs w:val="28"/>
        </w:rPr>
        <w:t>о</w:t>
      </w:r>
      <w:r w:rsidRPr="00A466D2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A466D2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</w:t>
      </w:r>
      <w:r w:rsidRPr="00D0579B">
        <w:rPr>
          <w:sz w:val="28"/>
          <w:szCs w:val="28"/>
        </w:rPr>
        <w:lastRenderedPageBreak/>
        <w:t xml:space="preserve">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2A20C0">
        <w:rPr>
          <w:b/>
          <w:color w:val="000000"/>
          <w:sz w:val="28"/>
          <w:szCs w:val="28"/>
        </w:rPr>
        <w:t>6</w:t>
      </w:r>
      <w:r w:rsidRPr="00E03515">
        <w:rPr>
          <w:b/>
          <w:color w:val="000000"/>
          <w:sz w:val="28"/>
          <w:szCs w:val="28"/>
        </w:rPr>
        <w:t>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DD710C">
        <w:trPr>
          <w:trHeight w:val="1022"/>
        </w:trPr>
        <w:tc>
          <w:tcPr>
            <w:tcW w:w="2234" w:type="dxa"/>
          </w:tcPr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DD710C" w:rsidRDefault="00DD710C" w:rsidP="00AC3516">
            <w:pPr>
              <w:rPr>
                <w:sz w:val="28"/>
                <w:szCs w:val="28"/>
                <w:lang w:val="en-US"/>
              </w:rPr>
            </w:pPr>
          </w:p>
          <w:p w:rsidR="00121EBD" w:rsidRPr="00305B57" w:rsidRDefault="00121EBD" w:rsidP="00AC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DD710C">
        <w:tc>
          <w:tcPr>
            <w:tcW w:w="223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247592" w:rsidP="002A2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  <w:r w:rsidR="002A20C0">
              <w:rPr>
                <w:sz w:val="28"/>
                <w:szCs w:val="28"/>
              </w:rPr>
              <w:t xml:space="preserve">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 w:rsidR="002A20C0">
              <w:rPr>
                <w:sz w:val="28"/>
                <w:szCs w:val="28"/>
              </w:rPr>
              <w:t>1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DD710C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A5" w:rsidRDefault="00513EA5" w:rsidP="00E45B85">
      <w:r>
        <w:separator/>
      </w:r>
    </w:p>
  </w:endnote>
  <w:endnote w:type="continuationSeparator" w:id="0">
    <w:p w:rsidR="00513EA5" w:rsidRDefault="00513EA5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A5" w:rsidRDefault="00513EA5" w:rsidP="00E45B85">
      <w:r>
        <w:separator/>
      </w:r>
    </w:p>
  </w:footnote>
  <w:footnote w:type="continuationSeparator" w:id="0">
    <w:p w:rsidR="00513EA5" w:rsidRDefault="00513EA5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52EF"/>
    <w:rsid w:val="000C3AD1"/>
    <w:rsid w:val="000C5794"/>
    <w:rsid w:val="000C6F97"/>
    <w:rsid w:val="000D7AF1"/>
    <w:rsid w:val="000E2222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60A47"/>
    <w:rsid w:val="001A0A09"/>
    <w:rsid w:val="001A4E3E"/>
    <w:rsid w:val="001E08B4"/>
    <w:rsid w:val="001E57A2"/>
    <w:rsid w:val="00207AE3"/>
    <w:rsid w:val="00222B01"/>
    <w:rsid w:val="0023706C"/>
    <w:rsid w:val="002433F8"/>
    <w:rsid w:val="00247592"/>
    <w:rsid w:val="00272D00"/>
    <w:rsid w:val="0028392D"/>
    <w:rsid w:val="00284031"/>
    <w:rsid w:val="002A20C0"/>
    <w:rsid w:val="002A2154"/>
    <w:rsid w:val="002A2632"/>
    <w:rsid w:val="002A2B10"/>
    <w:rsid w:val="002C7915"/>
    <w:rsid w:val="002D4F07"/>
    <w:rsid w:val="00307008"/>
    <w:rsid w:val="0035222B"/>
    <w:rsid w:val="0035483B"/>
    <w:rsid w:val="003570BC"/>
    <w:rsid w:val="0037322D"/>
    <w:rsid w:val="00375A12"/>
    <w:rsid w:val="003A6826"/>
    <w:rsid w:val="003B3CE6"/>
    <w:rsid w:val="003B4E63"/>
    <w:rsid w:val="003C046D"/>
    <w:rsid w:val="00406C1F"/>
    <w:rsid w:val="00424874"/>
    <w:rsid w:val="00434213"/>
    <w:rsid w:val="00447F5F"/>
    <w:rsid w:val="00461CC4"/>
    <w:rsid w:val="0048668D"/>
    <w:rsid w:val="004A0247"/>
    <w:rsid w:val="004D2559"/>
    <w:rsid w:val="004E04C4"/>
    <w:rsid w:val="004E674B"/>
    <w:rsid w:val="004F7877"/>
    <w:rsid w:val="00500ACA"/>
    <w:rsid w:val="00513EA5"/>
    <w:rsid w:val="00516B49"/>
    <w:rsid w:val="005624E1"/>
    <w:rsid w:val="00567AE9"/>
    <w:rsid w:val="005713F1"/>
    <w:rsid w:val="00571C5D"/>
    <w:rsid w:val="00594CE4"/>
    <w:rsid w:val="005A2A77"/>
    <w:rsid w:val="005D1366"/>
    <w:rsid w:val="005E457D"/>
    <w:rsid w:val="00602995"/>
    <w:rsid w:val="00630218"/>
    <w:rsid w:val="0064093B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B07F7"/>
    <w:rsid w:val="007B28CC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A09C5"/>
    <w:rsid w:val="008D3F34"/>
    <w:rsid w:val="008F76D1"/>
    <w:rsid w:val="009154D5"/>
    <w:rsid w:val="00932020"/>
    <w:rsid w:val="00936409"/>
    <w:rsid w:val="00947A7B"/>
    <w:rsid w:val="009571BE"/>
    <w:rsid w:val="009652B2"/>
    <w:rsid w:val="00985A93"/>
    <w:rsid w:val="00985F2E"/>
    <w:rsid w:val="00990BCA"/>
    <w:rsid w:val="00990F93"/>
    <w:rsid w:val="00995053"/>
    <w:rsid w:val="009979D1"/>
    <w:rsid w:val="00997B45"/>
    <w:rsid w:val="009E0FCE"/>
    <w:rsid w:val="00A02039"/>
    <w:rsid w:val="00A079FC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354D1"/>
    <w:rsid w:val="00B431DD"/>
    <w:rsid w:val="00B4548A"/>
    <w:rsid w:val="00B607A6"/>
    <w:rsid w:val="00B7123B"/>
    <w:rsid w:val="00B818FC"/>
    <w:rsid w:val="00BB091A"/>
    <w:rsid w:val="00BC2EE7"/>
    <w:rsid w:val="00BC62A2"/>
    <w:rsid w:val="00BC71D5"/>
    <w:rsid w:val="00BD1C82"/>
    <w:rsid w:val="00BF5D92"/>
    <w:rsid w:val="00BF622C"/>
    <w:rsid w:val="00C16729"/>
    <w:rsid w:val="00C35BCC"/>
    <w:rsid w:val="00C443EC"/>
    <w:rsid w:val="00C70022"/>
    <w:rsid w:val="00C8069C"/>
    <w:rsid w:val="00CA3BEB"/>
    <w:rsid w:val="00CB3CB2"/>
    <w:rsid w:val="00CD10E5"/>
    <w:rsid w:val="00CE1FA3"/>
    <w:rsid w:val="00CE38BD"/>
    <w:rsid w:val="00CF3831"/>
    <w:rsid w:val="00D0579B"/>
    <w:rsid w:val="00D278BE"/>
    <w:rsid w:val="00D358FB"/>
    <w:rsid w:val="00D94375"/>
    <w:rsid w:val="00DC6482"/>
    <w:rsid w:val="00DD21CD"/>
    <w:rsid w:val="00DD2DBD"/>
    <w:rsid w:val="00DD710C"/>
    <w:rsid w:val="00E002B2"/>
    <w:rsid w:val="00E03515"/>
    <w:rsid w:val="00E0537C"/>
    <w:rsid w:val="00E11D10"/>
    <w:rsid w:val="00E13A84"/>
    <w:rsid w:val="00E45B85"/>
    <w:rsid w:val="00E60F6D"/>
    <w:rsid w:val="00E654F8"/>
    <w:rsid w:val="00E754D5"/>
    <w:rsid w:val="00E77F06"/>
    <w:rsid w:val="00EA468F"/>
    <w:rsid w:val="00EA6DB5"/>
    <w:rsid w:val="00F007B5"/>
    <w:rsid w:val="00F01E1B"/>
    <w:rsid w:val="00F0667C"/>
    <w:rsid w:val="00F109E3"/>
    <w:rsid w:val="00F11F83"/>
    <w:rsid w:val="00F14F3C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C42B3"/>
    <w:rsid w:val="00FE3D1F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21B7-7940-4F64-A569-96638481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17</cp:revision>
  <cp:lastPrinted>2021-12-02T05:21:00Z</cp:lastPrinted>
  <dcterms:created xsi:type="dcterms:W3CDTF">2021-10-28T06:16:00Z</dcterms:created>
  <dcterms:modified xsi:type="dcterms:W3CDTF">2021-12-07T05:14:00Z</dcterms:modified>
</cp:coreProperties>
</file>