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Default="00121EBD" w:rsidP="004F7877">
      <w:pPr>
        <w:jc w:val="right"/>
        <w:rPr>
          <w:b/>
          <w:noProof/>
        </w:rPr>
      </w:pPr>
      <w:r w:rsidRPr="00121EBD">
        <w:rPr>
          <w:sz w:val="28"/>
          <w:szCs w:val="28"/>
        </w:rPr>
        <w:t xml:space="preserve">     </w:t>
      </w:r>
      <w:r w:rsidR="004F7877">
        <w:rPr>
          <w:sz w:val="28"/>
          <w:szCs w:val="28"/>
        </w:rPr>
        <w:t>ПРОЕКТ</w:t>
      </w:r>
    </w:p>
    <w:p w:rsidR="004F7877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6C7EF7">
        <w:rPr>
          <w:b/>
          <w:bCs/>
          <w:sz w:val="28"/>
          <w:szCs w:val="28"/>
        </w:rPr>
        <w:t xml:space="preserve">_________________2020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№</w:t>
      </w:r>
      <w:r w:rsidR="006C7EF7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E11D10">
        <w:rPr>
          <w:sz w:val="28"/>
          <w:szCs w:val="28"/>
        </w:rPr>
        <w:t>3 205 364,5</w:t>
      </w:r>
      <w:r w:rsidRPr="0037322D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E11D10">
        <w:rPr>
          <w:sz w:val="28"/>
          <w:szCs w:val="28"/>
        </w:rPr>
        <w:t>3 290 869,2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E11D10">
        <w:rPr>
          <w:sz w:val="28"/>
          <w:szCs w:val="28"/>
        </w:rPr>
        <w:t xml:space="preserve">85 504,7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25 500,0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E11D10">
        <w:rPr>
          <w:sz w:val="28"/>
          <w:szCs w:val="28"/>
        </w:rPr>
        <w:t>2 975 896,3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3 010 636,8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3 062 462,0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3 098 394,1</w:t>
      </w:r>
      <w:r w:rsidRPr="0037322D">
        <w:rPr>
          <w:sz w:val="28"/>
          <w:szCs w:val="28"/>
        </w:rPr>
        <w:t xml:space="preserve"> тыс. рублей, в том </w:t>
      </w:r>
      <w:r w:rsidRPr="0037322D">
        <w:rPr>
          <w:sz w:val="28"/>
          <w:szCs w:val="28"/>
        </w:rPr>
        <w:lastRenderedPageBreak/>
        <w:t>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52 500,0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80 500,0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администраторов источников финансирования дефицита бюджета городского округа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9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 к настоящему решению.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2 173 986,8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1 965 353,7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1 982 003,3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Pr="0037322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31 584,0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11. Бюджетные ассигнования на осуществление бюджетных инвестиций в объекты капитального строительства муниципальной </w:t>
      </w:r>
      <w:r w:rsidRPr="007E2ED6">
        <w:rPr>
          <w:sz w:val="28"/>
          <w:szCs w:val="28"/>
        </w:rPr>
        <w:lastRenderedPageBreak/>
        <w:t>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Pr="007E2ED6" w:rsidRDefault="00121EBD" w:rsidP="00121EBD">
      <w:pPr>
        <w:ind w:firstLine="708"/>
        <w:jc w:val="both"/>
        <w:rPr>
          <w:b/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</w:t>
      </w:r>
      <w:r w:rsidRPr="00E03515">
        <w:rPr>
          <w:color w:val="000000"/>
          <w:sz w:val="28"/>
          <w:szCs w:val="28"/>
        </w:rPr>
        <w:lastRenderedPageBreak/>
        <w:t>законодательством Российской Федерации и муниципальными правовыми актами города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согласно приложению 17 к настоящему решению.</w:t>
      </w:r>
    </w:p>
    <w:p w:rsidR="00121EBD" w:rsidRPr="00E03515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4C6D98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4C6D98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4C6D98">
            <w:pPr>
              <w:rPr>
                <w:sz w:val="28"/>
                <w:szCs w:val="28"/>
              </w:rPr>
            </w:pPr>
          </w:p>
          <w:p w:rsidR="00121EBD" w:rsidRPr="00305B57" w:rsidRDefault="00121EBD" w:rsidP="004C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4C6D98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6B2E90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C8" w:rsidRDefault="000408C8" w:rsidP="00E45B85">
      <w:r>
        <w:separator/>
      </w:r>
    </w:p>
  </w:endnote>
  <w:endnote w:type="continuationSeparator" w:id="0">
    <w:p w:rsidR="000408C8" w:rsidRDefault="000408C8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F90857" w:rsidRDefault="00F60C9F">
        <w:pPr>
          <w:pStyle w:val="a7"/>
          <w:jc w:val="right"/>
        </w:pPr>
        <w:fldSimple w:instr=" PAGE   \* MERGEFORMAT ">
          <w:r w:rsidR="00AE2218">
            <w:rPr>
              <w:noProof/>
            </w:rPr>
            <w:t>2</w:t>
          </w:r>
        </w:fldSimple>
      </w:p>
    </w:sdtContent>
  </w:sdt>
  <w:p w:rsidR="00F90857" w:rsidRDefault="00F90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C8" w:rsidRDefault="000408C8" w:rsidP="00E45B85">
      <w:r>
        <w:separator/>
      </w:r>
    </w:p>
  </w:footnote>
  <w:footnote w:type="continuationSeparator" w:id="0">
    <w:p w:rsidR="000408C8" w:rsidRDefault="000408C8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408C8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44300"/>
    <w:rsid w:val="001A0A09"/>
    <w:rsid w:val="001E57A2"/>
    <w:rsid w:val="00207AE3"/>
    <w:rsid w:val="00284031"/>
    <w:rsid w:val="002A2B10"/>
    <w:rsid w:val="002C7915"/>
    <w:rsid w:val="00307008"/>
    <w:rsid w:val="0035222B"/>
    <w:rsid w:val="0035483B"/>
    <w:rsid w:val="003570BC"/>
    <w:rsid w:val="0037322D"/>
    <w:rsid w:val="00375A12"/>
    <w:rsid w:val="003B3CE6"/>
    <w:rsid w:val="003C046D"/>
    <w:rsid w:val="00406C1F"/>
    <w:rsid w:val="004A0247"/>
    <w:rsid w:val="004D2559"/>
    <w:rsid w:val="004E04C4"/>
    <w:rsid w:val="004E674B"/>
    <w:rsid w:val="004F7877"/>
    <w:rsid w:val="00500ACA"/>
    <w:rsid w:val="00516B49"/>
    <w:rsid w:val="005713F1"/>
    <w:rsid w:val="00571C5D"/>
    <w:rsid w:val="005A2A77"/>
    <w:rsid w:val="005D1366"/>
    <w:rsid w:val="005E457D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30671"/>
    <w:rsid w:val="00870F04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7123B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D10E5"/>
    <w:rsid w:val="00CE1FA3"/>
    <w:rsid w:val="00CE38BD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60F6D"/>
    <w:rsid w:val="00E654F8"/>
    <w:rsid w:val="00E754D5"/>
    <w:rsid w:val="00E77F06"/>
    <w:rsid w:val="00EA468F"/>
    <w:rsid w:val="00EA6DB5"/>
    <w:rsid w:val="00F007B5"/>
    <w:rsid w:val="00F01E1B"/>
    <w:rsid w:val="00F0667C"/>
    <w:rsid w:val="00F11F83"/>
    <w:rsid w:val="00F14F3C"/>
    <w:rsid w:val="00F15811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B93D-D556-40F6-95EB-2C0504EC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8</cp:revision>
  <cp:lastPrinted>2019-12-09T11:05:00Z</cp:lastPrinted>
  <dcterms:created xsi:type="dcterms:W3CDTF">2020-10-27T05:47:00Z</dcterms:created>
  <dcterms:modified xsi:type="dcterms:W3CDTF">2020-10-28T07:18:00Z</dcterms:modified>
</cp:coreProperties>
</file>