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0" w:rsidRPr="009C0BB0" w:rsidRDefault="004148D0" w:rsidP="004148D0">
      <w:pPr>
        <w:widowControl w:val="0"/>
        <w:autoSpaceDE w:val="0"/>
        <w:autoSpaceDN w:val="0"/>
        <w:adjustRightInd w:val="0"/>
        <w:jc w:val="center"/>
      </w:pPr>
      <w:r w:rsidRPr="009C0BB0">
        <w:t xml:space="preserve">Паспорт муниципальной программы </w:t>
      </w:r>
      <w:r w:rsidRPr="009C0BB0">
        <w:rPr>
          <w:b/>
        </w:rPr>
        <w:t>«</w:t>
      </w:r>
      <w:r w:rsidRPr="009C0BB0">
        <w:rPr>
          <w:rStyle w:val="CharStyle8"/>
          <w:b w:val="0"/>
        </w:rPr>
        <w:t>Создание условий для эффективного и ответственного управления муниципальными финансами, повышения устойчивости</w:t>
      </w:r>
      <w:r w:rsidRPr="009C0BB0">
        <w:rPr>
          <w:rStyle w:val="CharStyle8"/>
        </w:rPr>
        <w:t xml:space="preserve"> </w:t>
      </w:r>
      <w:r w:rsidRPr="009C0BB0">
        <w:t xml:space="preserve">местного бюджета городского округа город Урай. Управление муниципальными финансами в городском округе город Урай» на период до 2020 года </w:t>
      </w:r>
    </w:p>
    <w:p w:rsidR="004148D0" w:rsidRDefault="004148D0" w:rsidP="004148D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6343"/>
      </w:tblGrid>
      <w:tr w:rsidR="004148D0" w:rsidRPr="00284D7A" w:rsidTr="0089001F">
        <w:tc>
          <w:tcPr>
            <w:tcW w:w="534" w:type="dxa"/>
          </w:tcPr>
          <w:p w:rsidR="004148D0" w:rsidRPr="00284D7A" w:rsidRDefault="004148D0" w:rsidP="0089001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1.</w:t>
            </w:r>
          </w:p>
        </w:tc>
        <w:tc>
          <w:tcPr>
            <w:tcW w:w="2693" w:type="dxa"/>
          </w:tcPr>
          <w:p w:rsidR="004148D0" w:rsidRPr="00284D7A" w:rsidRDefault="004148D0" w:rsidP="0089001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Наименование муниципальной программы</w:t>
            </w:r>
          </w:p>
        </w:tc>
        <w:tc>
          <w:tcPr>
            <w:tcW w:w="6343" w:type="dxa"/>
          </w:tcPr>
          <w:p w:rsidR="004148D0" w:rsidRPr="00284D7A" w:rsidRDefault="004148D0" w:rsidP="0089001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«Создание условий для эффективного и ответственного управления муниципальными финансами, повышения устойчивости </w:t>
            </w:r>
            <w:r w:rsidRPr="00284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городского округа город Урай. Управление муниципальными финансами в городском округе город Урай» на период до 2020 года </w:t>
            </w:r>
          </w:p>
        </w:tc>
      </w:tr>
      <w:tr w:rsidR="004148D0" w:rsidRPr="00284D7A" w:rsidTr="0089001F">
        <w:tc>
          <w:tcPr>
            <w:tcW w:w="534" w:type="dxa"/>
          </w:tcPr>
          <w:p w:rsidR="004148D0" w:rsidRPr="00284D7A" w:rsidRDefault="004148D0" w:rsidP="0089001F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148D0" w:rsidRPr="00284D7A" w:rsidRDefault="004148D0" w:rsidP="0089001F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4148D0" w:rsidRPr="00284D7A" w:rsidRDefault="004148D0" w:rsidP="0089001F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города Урай </w:t>
            </w:r>
            <w:r w:rsidRPr="00284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25.11.2011 №3476 «Об утверждении </w:t>
            </w: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муниципальной программы «Создание условий для эффективного и ответственного управления муниципальными финансами, повышения устойчивости </w:t>
            </w:r>
            <w:r w:rsidRPr="00284D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 городского округа город Урай. Управление муниципальными финансами в городском округе город Урай» на период до 2020 года»</w:t>
            </w:r>
          </w:p>
        </w:tc>
      </w:tr>
      <w:tr w:rsidR="004148D0" w:rsidRPr="00284D7A" w:rsidTr="0089001F">
        <w:tc>
          <w:tcPr>
            <w:tcW w:w="534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3.</w:t>
            </w:r>
          </w:p>
        </w:tc>
        <w:tc>
          <w:tcPr>
            <w:tcW w:w="2693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 xml:space="preserve">Ответственный исполнитель </w:t>
            </w:r>
          </w:p>
          <w:p w:rsidR="004148D0" w:rsidRPr="00284D7A" w:rsidRDefault="004148D0" w:rsidP="0089001F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D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43" w:type="dxa"/>
          </w:tcPr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Комитет по финансам администрации города Урай (далее – комитет по финансам)</w:t>
            </w:r>
          </w:p>
        </w:tc>
      </w:tr>
      <w:tr w:rsidR="004148D0" w:rsidRPr="00284D7A" w:rsidTr="0089001F">
        <w:tc>
          <w:tcPr>
            <w:tcW w:w="534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4.</w:t>
            </w:r>
          </w:p>
        </w:tc>
        <w:tc>
          <w:tcPr>
            <w:tcW w:w="2693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Соисполнители муниципальной программы</w:t>
            </w:r>
          </w:p>
        </w:tc>
        <w:tc>
          <w:tcPr>
            <w:tcW w:w="6343" w:type="dxa"/>
          </w:tcPr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Главные распорядители бюджетных средств, органы администрации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города Урай</w:t>
            </w: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, осуществляющие от имени администрации города Урай часть функций и полномочий учредителя муниципальных учреждений города Урай, </w:t>
            </w:r>
            <w:r w:rsidRPr="00284D7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администраторы доходов бюджета,</w:t>
            </w: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органы администрации города Урай </w:t>
            </w:r>
          </w:p>
        </w:tc>
      </w:tr>
      <w:tr w:rsidR="004148D0" w:rsidRPr="00284D7A" w:rsidTr="0089001F">
        <w:tc>
          <w:tcPr>
            <w:tcW w:w="534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5.</w:t>
            </w:r>
          </w:p>
        </w:tc>
        <w:tc>
          <w:tcPr>
            <w:tcW w:w="2693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Цели муниципальной программы</w:t>
            </w:r>
          </w:p>
        </w:tc>
        <w:tc>
          <w:tcPr>
            <w:tcW w:w="6343" w:type="dxa"/>
          </w:tcPr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Повышение эффективности бюджетных расходов в долгосрочной перспективе. Обеспечение условий для устойчивого исполнения расходных обязательств муниципального образования и повышения качества управления муниципальными финансами</w:t>
            </w:r>
          </w:p>
        </w:tc>
      </w:tr>
      <w:tr w:rsidR="004148D0" w:rsidRPr="00284D7A" w:rsidTr="0089001F">
        <w:tc>
          <w:tcPr>
            <w:tcW w:w="534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6.</w:t>
            </w:r>
          </w:p>
        </w:tc>
        <w:tc>
          <w:tcPr>
            <w:tcW w:w="2693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Задачи муниципальной программы</w:t>
            </w:r>
          </w:p>
        </w:tc>
        <w:tc>
          <w:tcPr>
            <w:tcW w:w="6343" w:type="dxa"/>
          </w:tcPr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1. Совершенствование бюджетного процесса в городском округе город Урай.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2. Устойчивое исполнение бюджета муниципального образования, повышение качества управления муниципальными финансами.</w:t>
            </w:r>
          </w:p>
        </w:tc>
      </w:tr>
      <w:tr w:rsidR="004148D0" w:rsidRPr="00284D7A" w:rsidTr="0089001F">
        <w:tc>
          <w:tcPr>
            <w:tcW w:w="534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7.</w:t>
            </w:r>
          </w:p>
        </w:tc>
        <w:tc>
          <w:tcPr>
            <w:tcW w:w="2693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Подпрограммы муниципальной программы</w:t>
            </w:r>
          </w:p>
        </w:tc>
        <w:tc>
          <w:tcPr>
            <w:tcW w:w="6343" w:type="dxa"/>
          </w:tcPr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Подпрограмма </w:t>
            </w: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</w:t>
            </w: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«Организация бюджетного процесса в муниципальном образовании»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Подпрограмма </w:t>
            </w: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II</w:t>
            </w: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 «</w:t>
            </w:r>
            <w:r w:rsidRPr="00284D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сбалансированности местного бюджета, повышение качества управления муниципальными финансами</w:t>
            </w: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»</w:t>
            </w:r>
          </w:p>
        </w:tc>
      </w:tr>
      <w:tr w:rsidR="004148D0" w:rsidRPr="00284D7A" w:rsidTr="0089001F">
        <w:tc>
          <w:tcPr>
            <w:tcW w:w="534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8.</w:t>
            </w:r>
          </w:p>
        </w:tc>
        <w:tc>
          <w:tcPr>
            <w:tcW w:w="2693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 xml:space="preserve">Портфели проектов, проекты, </w:t>
            </w:r>
            <w:proofErr w:type="gramStart"/>
            <w:r w:rsidRPr="00284D7A">
              <w:rPr>
                <w:rFonts w:eastAsia="Times New Roman"/>
              </w:rPr>
              <w:t>направленные</w:t>
            </w:r>
            <w:proofErr w:type="gramEnd"/>
            <w:r w:rsidRPr="00284D7A">
              <w:rPr>
                <w:rFonts w:eastAsia="Times New Roman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43" w:type="dxa"/>
          </w:tcPr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</w:tc>
      </w:tr>
      <w:tr w:rsidR="004148D0" w:rsidRPr="00284D7A" w:rsidTr="0089001F">
        <w:tc>
          <w:tcPr>
            <w:tcW w:w="534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lastRenderedPageBreak/>
              <w:t>9.</w:t>
            </w:r>
          </w:p>
        </w:tc>
        <w:tc>
          <w:tcPr>
            <w:tcW w:w="2693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Целевые показатели муниципальной программы</w:t>
            </w:r>
          </w:p>
        </w:tc>
        <w:tc>
          <w:tcPr>
            <w:tcW w:w="6343" w:type="dxa"/>
          </w:tcPr>
          <w:p w:rsidR="004148D0" w:rsidRPr="00284D7A" w:rsidRDefault="004148D0" w:rsidP="0089001F">
            <w:pPr>
              <w:tabs>
                <w:tab w:val="left" w:pos="277"/>
              </w:tabs>
              <w:jc w:val="both"/>
              <w:rPr>
                <w:rStyle w:val="CharStyle8"/>
                <w:rFonts w:eastAsia="Times New Roman"/>
                <w:b w:val="0"/>
                <w:bCs/>
              </w:rPr>
            </w:pPr>
            <w:r w:rsidRPr="00284D7A">
              <w:rPr>
                <w:rStyle w:val="CharStyle8"/>
                <w:rFonts w:eastAsia="Times New Roman"/>
                <w:b w:val="0"/>
                <w:bCs/>
              </w:rPr>
              <w:t xml:space="preserve">1. Оценка качества организации и осуществления бюджетного процесса в городском округе в рейтинге между городскими округами Ханты-Мансийского автономного округа – Югры (далее также - автономный округ, ХМАО – </w:t>
            </w:r>
            <w:proofErr w:type="spellStart"/>
            <w:r w:rsidRPr="00284D7A">
              <w:rPr>
                <w:rStyle w:val="CharStyle8"/>
                <w:rFonts w:eastAsia="Times New Roman"/>
                <w:b w:val="0"/>
                <w:bCs/>
              </w:rPr>
              <w:t>Югра</w:t>
            </w:r>
            <w:proofErr w:type="spellEnd"/>
            <w:r w:rsidRPr="00284D7A">
              <w:rPr>
                <w:rStyle w:val="CharStyle8"/>
                <w:rFonts w:eastAsia="Times New Roman"/>
                <w:b w:val="0"/>
                <w:bCs/>
              </w:rPr>
              <w:t xml:space="preserve">) по итогам работы за год (% от средней сводной оценки качества, сложившейся по городским округам) - </w:t>
            </w:r>
            <w:r w:rsidRPr="00284D7A">
              <w:rPr>
                <w:rFonts w:eastAsia="Times New Roman"/>
              </w:rPr>
              <w:t xml:space="preserve">на уровне не менее </w:t>
            </w:r>
            <w:r w:rsidRPr="00284D7A">
              <w:rPr>
                <w:rStyle w:val="CharStyle8"/>
                <w:rFonts w:eastAsia="Times New Roman"/>
                <w:b w:val="0"/>
                <w:bCs/>
              </w:rPr>
              <w:t>102,0%.</w:t>
            </w:r>
          </w:p>
          <w:p w:rsidR="004148D0" w:rsidRPr="00284D7A" w:rsidRDefault="004148D0" w:rsidP="0089001F">
            <w:pPr>
              <w:tabs>
                <w:tab w:val="left" w:pos="277"/>
              </w:tabs>
              <w:jc w:val="both"/>
              <w:rPr>
                <w:rStyle w:val="CharStyle8"/>
                <w:rFonts w:eastAsia="Times New Roman"/>
                <w:b w:val="0"/>
                <w:bCs/>
              </w:rPr>
            </w:pPr>
            <w:r w:rsidRPr="00284D7A">
              <w:rPr>
                <w:rStyle w:val="CharStyle8"/>
                <w:rFonts w:eastAsia="Times New Roman"/>
                <w:b w:val="0"/>
                <w:bCs/>
              </w:rPr>
              <w:t xml:space="preserve">2. Исполнение расходных обязательств городского округа за отчетный финансовый год от бюджетных ассигнований, утвержденных решением </w:t>
            </w:r>
            <w:r w:rsidRPr="00284D7A">
              <w:rPr>
                <w:rFonts w:eastAsia="Times New Roman"/>
              </w:rPr>
              <w:t>о бюджете городского округа - на уровне не менее 95%.</w:t>
            </w:r>
          </w:p>
          <w:p w:rsidR="004148D0" w:rsidRPr="00284D7A" w:rsidRDefault="004148D0" w:rsidP="0089001F">
            <w:pPr>
              <w:tabs>
                <w:tab w:val="left" w:pos="277"/>
              </w:tabs>
              <w:jc w:val="both"/>
              <w:rPr>
                <w:rFonts w:eastAsia="Times New Roman"/>
              </w:rPr>
            </w:pPr>
            <w:r w:rsidRPr="00284D7A">
              <w:rPr>
                <w:rStyle w:val="CharStyle8"/>
                <w:rFonts w:eastAsia="Times New Roman"/>
                <w:b w:val="0"/>
                <w:bCs/>
              </w:rPr>
              <w:t xml:space="preserve">3. </w:t>
            </w:r>
            <w:r w:rsidRPr="00284D7A">
              <w:rPr>
                <w:rFonts w:eastAsia="Times New Roman"/>
              </w:rPr>
              <w:t>Исполнение плана по налоговым и неналоговым доходам, утвержденного решением о бюджете городского округа - на уровне не менее 100%.</w:t>
            </w:r>
          </w:p>
          <w:p w:rsidR="004148D0" w:rsidRPr="00284D7A" w:rsidRDefault="004148D0" w:rsidP="0089001F">
            <w:pPr>
              <w:tabs>
                <w:tab w:val="left" w:pos="277"/>
              </w:tabs>
              <w:jc w:val="both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4.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- с 28,47% до 52,7%.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 xml:space="preserve">5. Доля просроченной кредиторской задолженности </w:t>
            </w:r>
            <w:r w:rsidRPr="00284D7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– 0,0%.</w:t>
            </w:r>
          </w:p>
        </w:tc>
      </w:tr>
      <w:tr w:rsidR="004148D0" w:rsidRPr="00284D7A" w:rsidTr="0089001F">
        <w:tc>
          <w:tcPr>
            <w:tcW w:w="534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10.</w:t>
            </w:r>
          </w:p>
        </w:tc>
        <w:tc>
          <w:tcPr>
            <w:tcW w:w="2693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Сроки реализации муниципальной программы</w:t>
            </w:r>
          </w:p>
        </w:tc>
        <w:tc>
          <w:tcPr>
            <w:tcW w:w="6343" w:type="dxa"/>
          </w:tcPr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2011-2020 годы</w:t>
            </w:r>
          </w:p>
        </w:tc>
      </w:tr>
      <w:tr w:rsidR="004148D0" w:rsidRPr="00284D7A" w:rsidTr="0089001F">
        <w:tc>
          <w:tcPr>
            <w:tcW w:w="534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11.</w:t>
            </w:r>
          </w:p>
        </w:tc>
        <w:tc>
          <w:tcPr>
            <w:tcW w:w="2693" w:type="dxa"/>
          </w:tcPr>
          <w:p w:rsidR="004148D0" w:rsidRPr="00284D7A" w:rsidRDefault="004148D0" w:rsidP="008900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84D7A">
              <w:rPr>
                <w:rFonts w:eastAsia="Times New Roman"/>
              </w:rPr>
              <w:t>Параметры финансового обеспечения  муниципальной программы</w:t>
            </w:r>
          </w:p>
        </w:tc>
        <w:tc>
          <w:tcPr>
            <w:tcW w:w="6343" w:type="dxa"/>
          </w:tcPr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 Источник финансового обеспечения муниципальной программы - бюджет муниципального образования городской округ город Урай.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2. Для реализации </w:t>
            </w:r>
            <w:r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программы необходимо: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1) на 2011 год – 0,0 тыс. рублей;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2) на 2012 год – 0,0 тыс. рублей;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3) на 2013 год – 0,0 тыс. рублей;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4) на 2014 год – </w:t>
            </w:r>
            <w:r w:rsidRPr="00284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31 088,5 </w:t>
            </w: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тыс. рублей;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5) на 2015 год – 32 036,4 тыс. рублей;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6) на 2016 год – 32 332,0 тыс. рублей;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7) на 2017 год – 34 631,8 тыс. рублей;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8) на 2018 год – 34 241,2 тыс. рублей;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9) на 2019 год – 36 582,8 тыс. рублей;</w:t>
            </w:r>
          </w:p>
          <w:p w:rsidR="004148D0" w:rsidRPr="00284D7A" w:rsidRDefault="004148D0" w:rsidP="0089001F">
            <w:pPr>
              <w:pStyle w:val="ConsPlusNonformat"/>
              <w:jc w:val="both"/>
              <w:rPr>
                <w:rStyle w:val="CharStyle8"/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284D7A">
              <w:rPr>
                <w:rStyle w:val="CharStyle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10) на 2020 год – 73 329,8 тыс. рублей.</w:t>
            </w:r>
          </w:p>
        </w:tc>
      </w:tr>
    </w:tbl>
    <w:p w:rsidR="00146CE9" w:rsidRDefault="00146CE9"/>
    <w:sectPr w:rsidR="00146CE9" w:rsidSect="0014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D0"/>
    <w:rsid w:val="00146CE9"/>
    <w:rsid w:val="00210838"/>
    <w:rsid w:val="004148D0"/>
    <w:rsid w:val="009C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harStyle8">
    <w:name w:val="Char Style 8"/>
    <w:rsid w:val="004148D0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Зорина</dc:creator>
  <cp:keywords/>
  <dc:description/>
  <cp:lastModifiedBy>Лариса Васильевна Зорина</cp:lastModifiedBy>
  <cp:revision>3</cp:revision>
  <cp:lastPrinted>2019-10-23T12:39:00Z</cp:lastPrinted>
  <dcterms:created xsi:type="dcterms:W3CDTF">2019-10-23T12:02:00Z</dcterms:created>
  <dcterms:modified xsi:type="dcterms:W3CDTF">2019-10-23T12:39:00Z</dcterms:modified>
</cp:coreProperties>
</file>