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91" w:rsidRDefault="00782291" w:rsidP="00782291">
      <w:pPr>
        <w:jc w:val="center"/>
        <w:rPr>
          <w:b/>
        </w:rPr>
      </w:pPr>
      <w:r>
        <w:rPr>
          <w:b/>
        </w:rPr>
        <w:t xml:space="preserve">Паспорт муниципальной программы </w:t>
      </w:r>
    </w:p>
    <w:p w:rsidR="00782291" w:rsidRDefault="00782291" w:rsidP="00782291">
      <w:pPr>
        <w:jc w:val="center"/>
        <w:rPr>
          <w:b/>
        </w:rPr>
      </w:pPr>
      <w:r>
        <w:rPr>
          <w:b/>
        </w:rPr>
        <w:t xml:space="preserve">«Капитальный ремонт и реконструкция систем </w:t>
      </w:r>
      <w:proofErr w:type="gramStart"/>
      <w:r>
        <w:rPr>
          <w:b/>
        </w:rPr>
        <w:t>коммунальной</w:t>
      </w:r>
      <w:proofErr w:type="gramEnd"/>
      <w:r>
        <w:rPr>
          <w:b/>
        </w:rPr>
        <w:t xml:space="preserve"> </w:t>
      </w:r>
    </w:p>
    <w:p w:rsidR="00782291" w:rsidRDefault="00782291" w:rsidP="00782291">
      <w:pPr>
        <w:jc w:val="center"/>
        <w:rPr>
          <w:b/>
        </w:rPr>
      </w:pPr>
      <w:r>
        <w:rPr>
          <w:b/>
        </w:rPr>
        <w:t xml:space="preserve">инфраструктуры города Урай» на 2014-2020 годы </w:t>
      </w:r>
    </w:p>
    <w:p w:rsidR="00782291" w:rsidRDefault="00782291" w:rsidP="00782291">
      <w:pPr>
        <w:tabs>
          <w:tab w:val="left" w:pos="5670"/>
        </w:tabs>
        <w:jc w:val="righ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27"/>
        <w:gridCol w:w="5620"/>
      </w:tblGrid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5620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«Капитальный ремонт и реконструкция систем коммунальной инфраструктуры города Урай» на 2014-2020 годы.</w:t>
            </w:r>
          </w:p>
        </w:tc>
      </w:tr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утверждения муниципальной программы (наименование и номер соответствующего нормативно правового акта)</w:t>
            </w:r>
          </w:p>
        </w:tc>
        <w:tc>
          <w:tcPr>
            <w:tcW w:w="5620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города Урай от 30.09.2013 №3389  «Об утверждении муниципальной программы «Капитальный ремонт и реконструкция систем коммунальной инфраструктуры города Урай» на 2014-2020 годы».</w:t>
            </w:r>
          </w:p>
        </w:tc>
      </w:tr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5620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«Управление жилищно-коммунального хозяйства города Урай» (далее – МКУ «УЖКХ города Урай»).</w:t>
            </w:r>
          </w:p>
        </w:tc>
      </w:tr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5620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«Управление капитального строительства города Урай» (далее – МКУ «УКС города Урай»).</w:t>
            </w:r>
          </w:p>
        </w:tc>
      </w:tr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муниципальной программы</w:t>
            </w:r>
          </w:p>
        </w:tc>
        <w:tc>
          <w:tcPr>
            <w:tcW w:w="5620" w:type="dxa"/>
          </w:tcPr>
          <w:p w:rsidR="00782291" w:rsidRDefault="00782291" w:rsidP="00890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функционирования систем жизнеобеспечения населения.</w:t>
            </w:r>
          </w:p>
        </w:tc>
      </w:tr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муниципальной программы</w:t>
            </w:r>
          </w:p>
        </w:tc>
        <w:tc>
          <w:tcPr>
            <w:tcW w:w="5620" w:type="dxa"/>
          </w:tcPr>
          <w:p w:rsidR="00782291" w:rsidRDefault="00782291" w:rsidP="00890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Снижение издержек на производство, транспортировку коммунальных услуг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 коммунальной инфраструктуры</w:t>
            </w:r>
            <w:r>
              <w:rPr>
                <w:sz w:val="24"/>
                <w:szCs w:val="24"/>
              </w:rPr>
              <w:t>.</w:t>
            </w:r>
          </w:p>
          <w:p w:rsidR="00782291" w:rsidRDefault="00782291" w:rsidP="00890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Привлечение внебюджетных источников финансирования на реализацию мероприятий муниципальной  программы.</w:t>
            </w:r>
          </w:p>
        </w:tc>
      </w:tr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5620" w:type="dxa"/>
          </w:tcPr>
          <w:p w:rsidR="00782291" w:rsidRDefault="00782291" w:rsidP="0089001F">
            <w:pPr>
              <w:pStyle w:val="ConsPlusNormal"/>
              <w:widowControl/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2291" w:rsidRDefault="00782291" w:rsidP="008900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Портфели проектов, проекты, </w:t>
            </w:r>
            <w:proofErr w:type="gramStart"/>
            <w:r>
              <w:t>направленные</w:t>
            </w:r>
            <w:proofErr w:type="gramEnd"/>
            <w: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20" w:type="dxa"/>
          </w:tcPr>
          <w:p w:rsidR="00782291" w:rsidRDefault="00782291" w:rsidP="008900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 жилищно-коммунальных услуг» - без финансирования.</w:t>
            </w:r>
          </w:p>
          <w:p w:rsidR="00782291" w:rsidRDefault="00782291" w:rsidP="008900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Портфель проектов «Жилье и городская среда» - без финансирования.</w:t>
            </w:r>
          </w:p>
          <w:p w:rsidR="00782291" w:rsidRDefault="00782291" w:rsidP="00890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показатели муниципальной программы</w:t>
            </w:r>
          </w:p>
        </w:tc>
        <w:tc>
          <w:tcPr>
            <w:tcW w:w="5620" w:type="dxa"/>
          </w:tcPr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>1.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2,4% до 2,6 %.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t xml:space="preserve">2.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87,0% до 91,0%. 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lastRenderedPageBreak/>
              <w:t xml:space="preserve">3. Обеспечение отсутствия аварий на объектах коммунальной инфраструктуры в сфере </w:t>
            </w:r>
            <w:proofErr w:type="spellStart"/>
            <w:r>
              <w:t>водо</w:t>
            </w:r>
            <w:proofErr w:type="spellEnd"/>
            <w:r>
              <w:t>-, теплоснабжения и водоотведения при производстве, транспортировке и распределении коммунальных ресурсов и сохранение ежегодного показателя  0 ед.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>4. Уменьшение удельного веса протяженности сетей газоснабжения, срок эксплуатации которых более 30 лет, в общей протяженности сетей с 14,0% до 6,05%.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t>5. Снижение количества аварий на объектах газоснабжения с 2 до 1 ед.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t>6. Уменьшение удельного веса протяженности ветхих сетей энергоснабжения, в общей протяженности сетей с 24,0% до 21,2 %.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t>7. Снижение количества аварий на объектах энергоснабжения с 7 до 1 ед.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t>8. Увеличение  доли объектов (систем)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с 0% до 100%.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rPr>
                <w:bCs/>
              </w:rPr>
              <w:t xml:space="preserve">9. </w:t>
            </w:r>
            <w:r>
              <w:t>Увеличение доли заемных средств в общем объеме капитальных вложений в системы теплоснабжения, водоснабжения, водоотведения и очистки сточных вод с 0% до 30%.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>10. Увеличение объема вложений частных инвесторов на развитие жилищно-коммунального комплекса муниципального образования на 10 тыс. населения с 2058,34 тыс. руб. до 2465,74 тыс. руб.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>11. Обеспечение объема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  на уровне 0 тыс. руб., ежегодно.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>12.Уменьшение объема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 с 2058,34 тыс. руб. до 1345,22 тыс. руб.</w:t>
            </w:r>
          </w:p>
          <w:p w:rsidR="00782291" w:rsidRDefault="00782291" w:rsidP="0089001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  <w:rPr>
                <w:bCs/>
              </w:rPr>
            </w:pPr>
            <w:r>
              <w:t>13. Увеличение удельного веса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 с 25% до 100%.</w:t>
            </w:r>
          </w:p>
        </w:tc>
      </w:tr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муниципальной </w:t>
            </w:r>
            <w:r>
              <w:lastRenderedPageBreak/>
              <w:t xml:space="preserve">программы </w:t>
            </w:r>
          </w:p>
        </w:tc>
        <w:tc>
          <w:tcPr>
            <w:tcW w:w="5620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2014-2020 годы.</w:t>
            </w:r>
          </w:p>
        </w:tc>
      </w:tr>
      <w:tr w:rsidR="00782291" w:rsidTr="0089001F">
        <w:tc>
          <w:tcPr>
            <w:tcW w:w="81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3027" w:type="dxa"/>
          </w:tcPr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5620" w:type="dxa"/>
          </w:tcPr>
          <w:p w:rsidR="00782291" w:rsidRDefault="00782291" w:rsidP="008900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муниципальной программы: местный бюджет, бюджет Ханты-Мансийского</w:t>
            </w:r>
          </w:p>
          <w:p w:rsidR="00782291" w:rsidRDefault="00782291" w:rsidP="008900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автономного округа – Югры, иные источники финансирования (внебюджетные средства).</w:t>
            </w:r>
          </w:p>
          <w:p w:rsidR="00782291" w:rsidRDefault="00782291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2014 год – </w:t>
            </w:r>
            <w:r>
              <w:rPr>
                <w:bCs/>
              </w:rPr>
              <w:t>82 174,1</w:t>
            </w:r>
            <w:r>
              <w:t>тыс. рублей.</w:t>
            </w:r>
          </w:p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– 128 223,9 тыс. рублей.</w:t>
            </w:r>
          </w:p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–91 049,6 тыс. рублей.</w:t>
            </w:r>
          </w:p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66 403,0 тыс. рублей.</w:t>
            </w:r>
          </w:p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–104 768,9 тыс. рублей.</w:t>
            </w:r>
          </w:p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94 871,6 тыс. рублей.</w:t>
            </w:r>
          </w:p>
          <w:p w:rsidR="00782291" w:rsidRDefault="00782291" w:rsidP="008900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98 786,4 тыс. рублей.</w:t>
            </w:r>
          </w:p>
        </w:tc>
      </w:tr>
    </w:tbl>
    <w:p w:rsidR="00146CE9" w:rsidRDefault="00146CE9"/>
    <w:sectPr w:rsidR="00146CE9" w:rsidSect="0014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291"/>
    <w:rsid w:val="00146CE9"/>
    <w:rsid w:val="0078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822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822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Зорина</dc:creator>
  <cp:keywords/>
  <dc:description/>
  <cp:lastModifiedBy>Лариса Васильевна Зорина</cp:lastModifiedBy>
  <cp:revision>2</cp:revision>
  <dcterms:created xsi:type="dcterms:W3CDTF">2019-10-23T11:37:00Z</dcterms:created>
  <dcterms:modified xsi:type="dcterms:W3CDTF">2019-10-23T11:38:00Z</dcterms:modified>
</cp:coreProperties>
</file>