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9E" w:rsidRPr="0074319E" w:rsidRDefault="0074319E" w:rsidP="0074319E">
      <w:pPr>
        <w:ind w:firstLine="567"/>
        <w:jc w:val="center"/>
        <w:rPr>
          <w:b/>
        </w:rPr>
      </w:pPr>
      <w:r w:rsidRPr="004D67FE">
        <w:rPr>
          <w:b/>
        </w:rPr>
        <w:t>Паспорт муниципальной программы</w:t>
      </w:r>
      <w:r>
        <w:rPr>
          <w:b/>
        </w:rPr>
        <w:t xml:space="preserve"> </w:t>
      </w:r>
      <w:r w:rsidRPr="0074319E">
        <w:rPr>
          <w:b/>
        </w:rPr>
        <w:t>«Профилактика правонарушений на территории города Урай» на 2018-2030 годы</w:t>
      </w:r>
    </w:p>
    <w:p w:rsidR="0074319E" w:rsidRPr="0074319E" w:rsidRDefault="0074319E" w:rsidP="0074319E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7087"/>
      </w:tblGrid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5A0534" w:rsidRDefault="0074319E" w:rsidP="0097734A">
            <w:r>
              <w:t xml:space="preserve">№ </w:t>
            </w:r>
            <w:proofErr w:type="spellStart"/>
            <w:proofErr w:type="gramStart"/>
            <w:r w:rsidRPr="005A05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0534">
              <w:rPr>
                <w:sz w:val="22"/>
                <w:szCs w:val="22"/>
              </w:rPr>
              <w:t>/</w:t>
            </w:r>
            <w:proofErr w:type="spellStart"/>
            <w:r w:rsidRPr="005A05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r w:rsidRPr="004D67FE">
              <w:rPr>
                <w:b/>
              </w:rPr>
              <w:t xml:space="preserve"> </w:t>
            </w:r>
            <w:r w:rsidRPr="004D67FE">
              <w:t xml:space="preserve">Наименование </w:t>
            </w:r>
          </w:p>
          <w:p w:rsidR="0074319E" w:rsidRDefault="0074319E" w:rsidP="0097734A">
            <w:r w:rsidRPr="004D67FE">
              <w:t xml:space="preserve">муниципальной </w:t>
            </w:r>
          </w:p>
          <w:p w:rsidR="0074319E" w:rsidRPr="004D67FE" w:rsidRDefault="0074319E" w:rsidP="0097734A">
            <w:r w:rsidRPr="004D67FE">
              <w:t>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pPr>
              <w:jc w:val="both"/>
            </w:pPr>
            <w:r w:rsidRPr="004D67FE">
              <w:t>муниципальная программа «Профилактика правонарушений на территории   города Урай» на 201</w:t>
            </w:r>
            <w:r w:rsidRPr="00EC1859">
              <w:t>8</w:t>
            </w:r>
            <w:r w:rsidRPr="004D67FE">
              <w:t>-20</w:t>
            </w:r>
            <w:r w:rsidRPr="00EC1859">
              <w:t>30</w:t>
            </w:r>
            <w:r w:rsidRPr="004D67FE">
              <w:t xml:space="preserve"> годы</w:t>
            </w:r>
            <w:r>
              <w:t xml:space="preserve"> (дале</w:t>
            </w:r>
            <w:proofErr w:type="gramStart"/>
            <w:r>
              <w:t>е-</w:t>
            </w:r>
            <w:proofErr w:type="gramEnd"/>
            <w:r>
              <w:t xml:space="preserve"> Программа, муниципальная программа)</w:t>
            </w:r>
          </w:p>
        </w:tc>
      </w:tr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r w:rsidRPr="004D67FE">
              <w:t xml:space="preserve">Дата утверждения </w:t>
            </w:r>
          </w:p>
          <w:p w:rsidR="0074319E" w:rsidRDefault="0074319E" w:rsidP="0097734A">
            <w:r w:rsidRPr="004D67FE">
              <w:t xml:space="preserve">муниципальной </w:t>
            </w:r>
          </w:p>
          <w:p w:rsidR="0074319E" w:rsidRPr="004D67FE" w:rsidRDefault="0074319E" w:rsidP="0097734A">
            <w:r w:rsidRPr="004D67FE">
              <w:t xml:space="preserve">программы: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pPr>
              <w:jc w:val="both"/>
            </w:pPr>
            <w:r w:rsidRPr="004D67FE">
              <w:t xml:space="preserve">постановление администрации города Урай от </w:t>
            </w:r>
            <w:r>
              <w:t>26.09.2017 №2760</w:t>
            </w:r>
            <w:r w:rsidRPr="004D67FE">
              <w:t xml:space="preserve"> «Об утверждении муниципальной программы «Профилактика правонарушений на территории города Урай» на 201</w:t>
            </w:r>
            <w:r>
              <w:t>8</w:t>
            </w:r>
            <w:r w:rsidRPr="004D67FE">
              <w:t>-20</w:t>
            </w:r>
            <w:r>
              <w:t>30</w:t>
            </w:r>
            <w:r w:rsidRPr="004D67FE">
              <w:t xml:space="preserve"> годы</w:t>
            </w:r>
            <w:r>
              <w:t>»</w:t>
            </w:r>
          </w:p>
        </w:tc>
      </w:tr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Куратор муниципальной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заместитель главы города Урай, курирующий направление гражданской защиты населения.</w:t>
            </w:r>
          </w:p>
        </w:tc>
      </w:tr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r w:rsidRPr="004D67FE">
              <w:t xml:space="preserve">Ответственный </w:t>
            </w:r>
          </w:p>
          <w:p w:rsidR="0074319E" w:rsidRPr="004D67FE" w:rsidRDefault="0074319E" w:rsidP="0097734A">
            <w:r w:rsidRPr="004D67FE">
              <w:t xml:space="preserve">исполнитель: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pPr>
              <w:jc w:val="both"/>
            </w:pPr>
            <w:r w:rsidRPr="004D67FE">
              <w:t>отдел гражданской защиты населения администрации города Урай.</w:t>
            </w:r>
          </w:p>
        </w:tc>
      </w:tr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r w:rsidRPr="004D67FE">
              <w:t xml:space="preserve">Соисполнители </w:t>
            </w:r>
          </w:p>
          <w:p w:rsidR="0074319E" w:rsidRDefault="0074319E" w:rsidP="0097734A">
            <w:r w:rsidRPr="004D67FE">
              <w:t xml:space="preserve">муниципальной  </w:t>
            </w:r>
          </w:p>
          <w:p w:rsidR="0074319E" w:rsidRPr="004D67FE" w:rsidRDefault="0074319E" w:rsidP="0097734A">
            <w:r w:rsidRPr="004D67FE">
              <w:t xml:space="preserve">программы: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5754EF" w:rsidRDefault="0074319E" w:rsidP="0097734A">
            <w:pPr>
              <w:jc w:val="both"/>
            </w:pPr>
            <w:r w:rsidRPr="005754EF">
              <w:t>1) администрация города Урай;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2) Управление образования и молодежной политики администрации города Урай;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3) управление по культуре и социальным вопросам  администрации города Урай;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4) управление по физической культуре, спорту и туризму администрации города Урай;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5) управление по информационным технологиям и  связи администрации города Урай;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6) отдел по делам несовершеннолетних и защите их прав администрации города Урай;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 xml:space="preserve">7) </w:t>
            </w:r>
            <w:r w:rsidRPr="005754EF">
              <w:rPr>
                <w:bCs/>
              </w:rPr>
              <w:t>отдел опеки и попечительства администрации города Урай;</w:t>
            </w:r>
            <w:r w:rsidRPr="005754EF">
              <w:t xml:space="preserve"> 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8) пресс-служба администрации города Урай;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9) муниципальное казенное учреждение «Управление материально-технического обеспечения города Урай»;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10) муниципальное автономное учреждение «Культура»;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t>11) муниципальное бюджетное учреждение газета «Знамя».</w:t>
            </w:r>
          </w:p>
          <w:p w:rsidR="0074319E" w:rsidRPr="005754EF" w:rsidRDefault="0074319E" w:rsidP="0097734A">
            <w:pPr>
              <w:tabs>
                <w:tab w:val="left" w:pos="459"/>
              </w:tabs>
              <w:jc w:val="both"/>
            </w:pPr>
            <w:r w:rsidRPr="005754EF">
              <w:rPr>
                <w:i/>
              </w:rPr>
              <w:t>(в редакции постановления администрации  города Урай от 13.03.2018 №529)</w:t>
            </w:r>
          </w:p>
        </w:tc>
      </w:tr>
      <w:tr w:rsidR="0074319E" w:rsidRPr="004D67FE" w:rsidTr="0074319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r>
              <w:t xml:space="preserve">Цели </w:t>
            </w:r>
            <w:r w:rsidRPr="004D67FE">
              <w:t xml:space="preserve">муниципальной </w:t>
            </w:r>
          </w:p>
          <w:p w:rsidR="0074319E" w:rsidRPr="004D67FE" w:rsidRDefault="0074319E" w:rsidP="0097734A">
            <w:r w:rsidRPr="004D67FE">
              <w:t>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D84B1E" w:rsidRDefault="0074319E" w:rsidP="0097734A">
            <w:pPr>
              <w:autoSpaceDE w:val="0"/>
              <w:autoSpaceDN w:val="0"/>
              <w:adjustRightInd w:val="0"/>
              <w:jc w:val="both"/>
            </w:pPr>
            <w:r w:rsidRPr="00D84B1E"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74319E" w:rsidRPr="00D84B1E" w:rsidRDefault="0074319E" w:rsidP="0097734A">
            <w:pPr>
              <w:autoSpaceDE w:val="0"/>
              <w:autoSpaceDN w:val="0"/>
              <w:adjustRightInd w:val="0"/>
              <w:jc w:val="both"/>
            </w:pPr>
            <w:r w:rsidRPr="00D84B1E">
              <w:t>2) Совершенствование системы профилактики немедицинского потребления наркотиков;</w:t>
            </w:r>
          </w:p>
          <w:p w:rsidR="0074319E" w:rsidRPr="00D84B1E" w:rsidRDefault="0074319E" w:rsidP="0097734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84B1E">
              <w:t xml:space="preserve">3) </w:t>
            </w:r>
            <w:r w:rsidRPr="00024D9E">
              <w:t>Предупреждение террористической и экстремистской деятельности.</w:t>
            </w:r>
          </w:p>
        </w:tc>
      </w:tr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pPr>
              <w:jc w:val="both"/>
            </w:pPr>
            <w:r>
              <w:t>6</w:t>
            </w:r>
          </w:p>
          <w:p w:rsidR="0074319E" w:rsidRPr="004D67FE" w:rsidRDefault="0074319E" w:rsidP="0097734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pPr>
              <w:jc w:val="both"/>
            </w:pPr>
            <w:r w:rsidRPr="004D67FE">
              <w:t xml:space="preserve">Задачи муниципальной </w:t>
            </w:r>
          </w:p>
          <w:p w:rsidR="0074319E" w:rsidRPr="004D67FE" w:rsidRDefault="0074319E" w:rsidP="0097734A">
            <w:pPr>
              <w:jc w:val="both"/>
            </w:pPr>
            <w:r w:rsidRPr="004D67FE">
              <w:t>программы:</w:t>
            </w:r>
          </w:p>
          <w:p w:rsidR="0074319E" w:rsidRPr="004D67FE" w:rsidRDefault="0074319E" w:rsidP="0097734A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C24165" w:rsidRDefault="0074319E" w:rsidP="0097734A">
            <w:pPr>
              <w:autoSpaceDE w:val="0"/>
              <w:autoSpaceDN w:val="0"/>
              <w:adjustRightInd w:val="0"/>
              <w:jc w:val="both"/>
            </w:pPr>
            <w:r w:rsidRPr="00C24165">
              <w:t>1) Предупреждение правонарушений на улицах города и профилактика правонарушений несовершеннолетних;</w:t>
            </w:r>
          </w:p>
          <w:p w:rsidR="0074319E" w:rsidRPr="00C24165" w:rsidRDefault="0074319E" w:rsidP="0097734A">
            <w:pPr>
              <w:autoSpaceDE w:val="0"/>
              <w:autoSpaceDN w:val="0"/>
              <w:adjustRightInd w:val="0"/>
              <w:jc w:val="both"/>
            </w:pPr>
            <w:r w:rsidRPr="00C24165">
              <w:t>2) Профилактика наркомании и пропаганда здорового образа жизни;</w:t>
            </w:r>
          </w:p>
          <w:p w:rsidR="0074319E" w:rsidRPr="004D67FE" w:rsidRDefault="0074319E" w:rsidP="0097734A">
            <w:pPr>
              <w:autoSpaceDE w:val="0"/>
              <w:autoSpaceDN w:val="0"/>
              <w:adjustRightInd w:val="0"/>
              <w:jc w:val="both"/>
            </w:pPr>
            <w:r w:rsidRPr="00C24165">
              <w:t>3) Профилактическая и разъяснительная работа по профилактике терроризма</w:t>
            </w:r>
            <w:r w:rsidRPr="00C24165">
              <w:rPr>
                <w:bCs/>
              </w:rPr>
              <w:t xml:space="preserve"> и экстремизма</w:t>
            </w:r>
            <w:r w:rsidRPr="00C24165">
              <w:t>.</w:t>
            </w:r>
          </w:p>
        </w:tc>
      </w:tr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r w:rsidRPr="004D67FE">
              <w:t xml:space="preserve">Подпрограммы </w:t>
            </w:r>
          </w:p>
          <w:p w:rsidR="0074319E" w:rsidRDefault="0074319E" w:rsidP="0097734A">
            <w:r w:rsidRPr="004D67FE">
              <w:t>муниципальной программы:</w:t>
            </w:r>
          </w:p>
          <w:p w:rsidR="0074319E" w:rsidRPr="004D67FE" w:rsidRDefault="0074319E" w:rsidP="0097734A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pPr>
              <w:autoSpaceDE w:val="0"/>
              <w:autoSpaceDN w:val="0"/>
              <w:adjustRightInd w:val="0"/>
              <w:ind w:left="34"/>
              <w:jc w:val="both"/>
            </w:pPr>
            <w:r w:rsidRPr="002B73EC">
              <w:t xml:space="preserve">1) </w:t>
            </w:r>
            <w:r w:rsidRPr="004D67FE">
              <w:t xml:space="preserve">подпрограмма </w:t>
            </w:r>
            <w:r w:rsidRPr="004D67FE">
              <w:rPr>
                <w:lang w:val="en-US"/>
              </w:rPr>
              <w:t>I</w:t>
            </w:r>
            <w:r w:rsidRPr="004D67FE">
              <w:t xml:space="preserve"> «Профилактика правонарушений»;</w:t>
            </w:r>
          </w:p>
          <w:p w:rsidR="0074319E" w:rsidRPr="004D67FE" w:rsidRDefault="0074319E" w:rsidP="0097734A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t xml:space="preserve">2) </w:t>
            </w:r>
            <w:hyperlink r:id="rId6" w:history="1">
              <w:r w:rsidRPr="004D67FE">
                <w:t>подпрограмма II</w:t>
              </w:r>
            </w:hyperlink>
            <w:r w:rsidRPr="004D67FE">
              <w:t xml:space="preserve"> «Профилактика незаконного оборота и потребления наркотических средств и психотропных веществ»;</w:t>
            </w:r>
          </w:p>
          <w:p w:rsidR="0074319E" w:rsidRPr="004D67FE" w:rsidRDefault="0074319E" w:rsidP="0097734A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t xml:space="preserve">3) </w:t>
            </w:r>
            <w:r w:rsidRPr="004D67FE">
              <w:t xml:space="preserve">подпрограмма </w:t>
            </w:r>
            <w:r>
              <w:rPr>
                <w:lang w:val="en-US"/>
              </w:rPr>
              <w:t>III</w:t>
            </w:r>
            <w:r w:rsidRPr="004D67FE">
              <w:t xml:space="preserve"> «Профилактика терроризма и экстремизма». </w:t>
            </w:r>
          </w:p>
        </w:tc>
      </w:tr>
      <w:tr w:rsidR="0074319E" w:rsidRPr="004D67FE" w:rsidTr="00743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 w:rsidRPr="004D67FE">
              <w:t xml:space="preserve">Сроки реализации </w:t>
            </w:r>
            <w:r w:rsidRPr="004D67FE">
              <w:lastRenderedPageBreak/>
              <w:t>муниципальной</w:t>
            </w:r>
          </w:p>
          <w:p w:rsidR="0074319E" w:rsidRPr="004D67FE" w:rsidRDefault="0074319E" w:rsidP="0097734A">
            <w:r w:rsidRPr="004D67FE">
              <w:t>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pPr>
              <w:jc w:val="both"/>
            </w:pPr>
            <w:r w:rsidRPr="004D67FE">
              <w:lastRenderedPageBreak/>
              <w:t>201</w:t>
            </w:r>
            <w:r>
              <w:rPr>
                <w:lang w:val="en-US"/>
              </w:rPr>
              <w:t>8</w:t>
            </w:r>
            <w:r w:rsidRPr="004D67FE">
              <w:t xml:space="preserve"> - 20</w:t>
            </w:r>
            <w:r>
              <w:rPr>
                <w:lang w:val="en-US"/>
              </w:rPr>
              <w:t>30</w:t>
            </w:r>
            <w:r w:rsidRPr="004D67FE">
              <w:t xml:space="preserve"> годы.</w:t>
            </w:r>
          </w:p>
          <w:p w:rsidR="0074319E" w:rsidRPr="004D67FE" w:rsidRDefault="0074319E" w:rsidP="0097734A">
            <w:pPr>
              <w:jc w:val="both"/>
            </w:pPr>
          </w:p>
        </w:tc>
      </w:tr>
      <w:tr w:rsidR="0074319E" w:rsidRPr="004D67FE" w:rsidTr="007431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pPr>
              <w:autoSpaceDE w:val="0"/>
              <w:autoSpaceDN w:val="0"/>
              <w:adjustRightInd w:val="0"/>
              <w:outlineLvl w:val="2"/>
            </w:pPr>
            <w: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Default="0074319E" w:rsidP="0097734A">
            <w:pPr>
              <w:autoSpaceDE w:val="0"/>
              <w:autoSpaceDN w:val="0"/>
              <w:adjustRightInd w:val="0"/>
              <w:outlineLvl w:val="2"/>
            </w:pPr>
            <w:r w:rsidRPr="004D67FE">
              <w:t>Объемы и источники финансирования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CD6AA7" w:rsidRDefault="0074319E" w:rsidP="0097734A">
            <w:pPr>
              <w:jc w:val="both"/>
            </w:pPr>
            <w:r w:rsidRPr="00CD6AA7">
              <w:t>1. Общий объем финансирования программы составляет 162 510,4 тыс. рублей в том числе:</w:t>
            </w:r>
          </w:p>
          <w:p w:rsidR="0074319E" w:rsidRPr="00CD6AA7" w:rsidRDefault="0074319E" w:rsidP="0097734A">
            <w:pPr>
              <w:jc w:val="both"/>
            </w:pPr>
            <w:r w:rsidRPr="00CD6AA7">
              <w:t>1) средства окружного бюджета – 117 877,1 тыс. рублей, из них: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2018 год – 10176,3</w:t>
            </w:r>
            <w:r w:rsidRPr="00CD6AA7">
              <w:rPr>
                <w:bCs/>
              </w:rPr>
              <w:t xml:space="preserve"> </w:t>
            </w:r>
            <w:r w:rsidRPr="00CD6AA7">
              <w:t>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2019 год – 9 247,1</w:t>
            </w:r>
            <w:r w:rsidRPr="00CD6AA7">
              <w:rPr>
                <w:bCs/>
              </w:rPr>
              <w:t xml:space="preserve"> </w:t>
            </w:r>
            <w:r w:rsidRPr="00CD6AA7">
              <w:t>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2020 год – 9 276,7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2021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2022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2023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2024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2025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2026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2027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2028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2029 год – 8 917,7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2030 год – 8 917,7 тыс. рублей.</w:t>
            </w:r>
          </w:p>
          <w:p w:rsidR="0074319E" w:rsidRPr="00CD6AA7" w:rsidRDefault="0074319E" w:rsidP="0097734A">
            <w:pPr>
              <w:jc w:val="both"/>
            </w:pPr>
            <w:r w:rsidRPr="00CD6AA7">
              <w:t>2) средства бюджета городского округа город Урай – 44 633,3 тыс. рублей, из них: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2018 год – 2 578,4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2019 год – 2 237,1</w:t>
            </w:r>
            <w:r w:rsidRPr="00CD6AA7">
              <w:rPr>
                <w:bCs/>
              </w:rPr>
              <w:t xml:space="preserve"> </w:t>
            </w:r>
            <w:r w:rsidRPr="00CD6AA7">
              <w:t>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2020 год – 2 249,8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2021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2022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2023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2024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2025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2026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2027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2028 год – 3 756,8 тыс. рублей;</w:t>
            </w:r>
          </w:p>
          <w:p w:rsidR="0074319E" w:rsidRPr="00CD6AA7" w:rsidRDefault="0074319E" w:rsidP="0097734A">
            <w:pPr>
              <w:jc w:val="both"/>
            </w:pPr>
            <w:r w:rsidRPr="00CD6AA7">
              <w:t>на 2029 год – 3 756,8 тыс. рублей;</w:t>
            </w:r>
          </w:p>
          <w:p w:rsidR="0074319E" w:rsidRDefault="0074319E" w:rsidP="0097734A">
            <w:pPr>
              <w:autoSpaceDE w:val="0"/>
              <w:autoSpaceDN w:val="0"/>
              <w:adjustRightInd w:val="0"/>
              <w:jc w:val="both"/>
              <w:outlineLvl w:val="2"/>
            </w:pPr>
            <w:r w:rsidRPr="00CD6AA7">
              <w:t>на 2030 год – 3 756,8 тыс. рублей.</w:t>
            </w:r>
          </w:p>
          <w:p w:rsidR="0074319E" w:rsidRDefault="0074319E" w:rsidP="0097734A">
            <w:pPr>
              <w:jc w:val="center"/>
              <w:rPr>
                <w:i/>
              </w:rPr>
            </w:pPr>
            <w:proofErr w:type="gramStart"/>
            <w:r w:rsidRPr="00F12A4D">
              <w:rPr>
                <w:i/>
              </w:rPr>
              <w:t>(в редакции постановлени</w:t>
            </w:r>
            <w:r>
              <w:rPr>
                <w:i/>
              </w:rPr>
              <w:t xml:space="preserve">я администрации </w:t>
            </w:r>
            <w:proofErr w:type="gramEnd"/>
          </w:p>
          <w:p w:rsidR="0074319E" w:rsidRPr="00CD6AA7" w:rsidRDefault="0074319E" w:rsidP="0074319E">
            <w:pPr>
              <w:jc w:val="center"/>
            </w:pPr>
            <w:r>
              <w:rPr>
                <w:i/>
              </w:rPr>
              <w:t xml:space="preserve">города Урай </w:t>
            </w:r>
            <w:r w:rsidRPr="00F12A4D">
              <w:rPr>
                <w:i/>
              </w:rPr>
              <w:t>от 30.07.2018 №1912)</w:t>
            </w:r>
          </w:p>
        </w:tc>
      </w:tr>
      <w:tr w:rsidR="0074319E" w:rsidRPr="004D67FE" w:rsidTr="0074319E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4D67FE" w:rsidRDefault="0074319E" w:rsidP="0097734A">
            <w:r w:rsidRPr="004D67FE">
              <w:t>Ожидаемые результаты реализации муниципальной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9E" w:rsidRPr="00CD6AA7" w:rsidRDefault="0074319E" w:rsidP="0097734A">
            <w:pPr>
              <w:pStyle w:val="a3"/>
              <w:widowControl w:val="0"/>
              <w:ind w:left="0"/>
              <w:jc w:val="both"/>
            </w:pPr>
            <w:r w:rsidRPr="00CD6AA7">
              <w:t xml:space="preserve">1) Снижение доли уличных преступлений в числе зарегистрированных </w:t>
            </w:r>
            <w:proofErr w:type="spellStart"/>
            <w:r w:rsidRPr="00CD6AA7">
              <w:t>общеуголовных</w:t>
            </w:r>
            <w:proofErr w:type="spellEnd"/>
            <w:r w:rsidRPr="00CD6AA7">
              <w:t xml:space="preserve"> преступлений с 21,2% до 19,9%; </w:t>
            </w:r>
          </w:p>
          <w:p w:rsidR="0074319E" w:rsidRPr="00CD6AA7" w:rsidRDefault="0074319E" w:rsidP="0097734A">
            <w:pPr>
              <w:pStyle w:val="a3"/>
              <w:widowControl w:val="0"/>
              <w:ind w:left="0"/>
              <w:jc w:val="both"/>
            </w:pPr>
            <w:r w:rsidRPr="00CD6AA7">
              <w:t>2)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об административных правонарушениях Российской Федерации (дале</w:t>
            </w:r>
            <w:proofErr w:type="gramStart"/>
            <w:r w:rsidRPr="00CD6AA7">
              <w:t>е-</w:t>
            </w:r>
            <w:proofErr w:type="gramEnd"/>
            <w:r w:rsidRPr="00CD6AA7">
              <w:t xml:space="preserve"> </w:t>
            </w:r>
            <w:proofErr w:type="spellStart"/>
            <w:r w:rsidRPr="00CD6AA7">
              <w:t>КоАП</w:t>
            </w:r>
            <w:proofErr w:type="spellEnd"/>
            <w:r w:rsidRPr="00CD6AA7">
              <w:t xml:space="preserve"> РФ), в общем количестве таких правонарушений с 11,9% до 13,2%;</w:t>
            </w:r>
          </w:p>
          <w:p w:rsidR="0074319E" w:rsidRPr="00CD6AA7" w:rsidRDefault="0074319E" w:rsidP="0097734A">
            <w:pPr>
              <w:pStyle w:val="a3"/>
              <w:widowControl w:val="0"/>
              <w:ind w:left="0"/>
              <w:jc w:val="both"/>
            </w:pPr>
            <w:r w:rsidRPr="00CD6AA7">
              <w:t xml:space="preserve">3) Увеличение доли административных правонарушений, предусмотренных ст.ст.12.9, 12.12, 12.19 </w:t>
            </w:r>
            <w:proofErr w:type="spellStart"/>
            <w:r w:rsidRPr="00CD6AA7">
              <w:t>КоАП</w:t>
            </w:r>
            <w:proofErr w:type="spellEnd"/>
            <w:r w:rsidRPr="00CD6AA7">
              <w:t xml:space="preserve"> РФ, выявленных с помощью технических средств фот</w:t>
            </w:r>
            <w:proofErr w:type="gramStart"/>
            <w:r w:rsidRPr="00CD6AA7">
              <w:t>о-</w:t>
            </w:r>
            <w:proofErr w:type="gramEnd"/>
            <w:r w:rsidRPr="00CD6AA7">
              <w:t xml:space="preserve">, </w:t>
            </w:r>
            <w:proofErr w:type="spellStart"/>
            <w:r w:rsidRPr="00CD6AA7">
              <w:t>видеофиксации</w:t>
            </w:r>
            <w:proofErr w:type="spellEnd"/>
            <w:r w:rsidRPr="00CD6AA7">
              <w:t>, работающих в автоматическом режиме, в общем количестве таких правонарушений с 28,1% до 30,2%;</w:t>
            </w:r>
          </w:p>
          <w:p w:rsidR="0074319E" w:rsidRPr="00CD6AA7" w:rsidRDefault="0074319E" w:rsidP="0097734A">
            <w:pPr>
              <w:pStyle w:val="a3"/>
              <w:widowControl w:val="0"/>
              <w:ind w:left="0"/>
              <w:jc w:val="both"/>
            </w:pPr>
            <w:r w:rsidRPr="00CD6AA7">
              <w:t>4)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74319E" w:rsidRPr="00CD6AA7" w:rsidRDefault="0074319E" w:rsidP="009773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D6AA7">
              <w:lastRenderedPageBreak/>
              <w:t>5) Увеличение количества рассмотренных дел об административных правонарушениях,  составленных должностными лицами администрации города Урай, с 221 до 247;</w:t>
            </w:r>
          </w:p>
          <w:p w:rsidR="0074319E" w:rsidRPr="00CD6AA7" w:rsidRDefault="0074319E" w:rsidP="009773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D6AA7">
              <w:t>6) Уменьшение доли преступлений, совершенных несовершеннолетними, в общем количестве зарегистрированных преступлений на территории города Урай с 5,4% до 5,0%;</w:t>
            </w:r>
          </w:p>
          <w:p w:rsidR="0074319E" w:rsidRPr="00CD6AA7" w:rsidRDefault="0074319E" w:rsidP="009773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D6AA7">
              <w:t xml:space="preserve">7)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CD6AA7">
              <w:t>психоактивных</w:t>
            </w:r>
            <w:proofErr w:type="spellEnd"/>
            <w:r w:rsidRPr="00CD6AA7">
              <w:t xml:space="preserve"> веществ,100%;</w:t>
            </w:r>
          </w:p>
          <w:p w:rsidR="0074319E" w:rsidRPr="00CD6AA7" w:rsidRDefault="0074319E" w:rsidP="009773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D6AA7">
              <w:t>8) Снижение общей заболеваемости наркоманией и обращаемости лиц, употребляющих наркотики с вредными последствиями, с 254,5 до 249,3 (на 100 тыс</w:t>
            </w:r>
            <w:proofErr w:type="gramStart"/>
            <w:r w:rsidRPr="00CD6AA7">
              <w:t>.н</w:t>
            </w:r>
            <w:proofErr w:type="gramEnd"/>
            <w:r w:rsidRPr="00CD6AA7">
              <w:t>аселения);</w:t>
            </w:r>
          </w:p>
          <w:p w:rsidR="0074319E" w:rsidRPr="00CD6AA7" w:rsidRDefault="0074319E" w:rsidP="009773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D6AA7">
              <w:t>9) Увеличение доли обучающихся образовательных организаций, охваченных мероприятиями, направленными на профилактику терроризма и экстремизма, с 87,6% до 90%;</w:t>
            </w:r>
          </w:p>
          <w:p w:rsidR="0074319E" w:rsidRPr="00CD6AA7" w:rsidRDefault="0074319E" w:rsidP="0097734A">
            <w:pPr>
              <w:jc w:val="both"/>
            </w:pPr>
            <w:r w:rsidRPr="00CD6AA7">
              <w:t>10) Увеличение доли граждан, положительно оценивающих состояние межнациональных отношений, с 78,7 до 79,0%*;</w:t>
            </w:r>
          </w:p>
          <w:p w:rsidR="0074319E" w:rsidRPr="00CD6AA7" w:rsidRDefault="0074319E" w:rsidP="0097734A">
            <w:pPr>
              <w:jc w:val="both"/>
            </w:pPr>
            <w:r w:rsidRPr="00CD6AA7">
              <w:t>11) Увеличение доли граждан, положительно оценивающих состояние межконфессиональных отношений, с 88,9% до 89,0%*;</w:t>
            </w:r>
          </w:p>
          <w:p w:rsidR="0074319E" w:rsidRPr="00CD6AA7" w:rsidRDefault="0074319E" w:rsidP="0097734A">
            <w:pPr>
              <w:tabs>
                <w:tab w:val="left" w:pos="1219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CD6AA7">
              <w:t>12. Увеличение ч</w:t>
            </w:r>
            <w:r w:rsidRPr="00CD6AA7">
              <w:rPr>
                <w:rFonts w:eastAsia="Calibri"/>
              </w:rPr>
              <w:t xml:space="preserve">исленности участников мероприятий, направленных на укрепление общероссийского гражданского единства, с 0,122 тысяч человек до 0,171 тысяч человек; </w:t>
            </w:r>
          </w:p>
          <w:p w:rsidR="0074319E" w:rsidRPr="00CD6AA7" w:rsidRDefault="0074319E" w:rsidP="0097734A">
            <w:pPr>
              <w:tabs>
                <w:tab w:val="left" w:pos="12191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CD6AA7">
              <w:rPr>
                <w:rFonts w:eastAsia="Calibri"/>
              </w:rPr>
              <w:t xml:space="preserve">  13. Увеличение численности участников мероприятий, направленных на этнокультурное развитие народов России, проживающих на территории города Урай, </w:t>
            </w:r>
            <w:r w:rsidRPr="00CD6AA7">
              <w:t xml:space="preserve"> </w:t>
            </w:r>
            <w:r w:rsidRPr="00CD6AA7">
              <w:rPr>
                <w:rFonts w:eastAsia="Calibri"/>
              </w:rPr>
              <w:t>с 0,066 тысяч человек до 0,135 тысяч человек.</w:t>
            </w:r>
          </w:p>
          <w:p w:rsidR="0074319E" w:rsidRPr="00CD6AA7" w:rsidRDefault="0074319E" w:rsidP="0097734A">
            <w:pPr>
              <w:pStyle w:val="a5"/>
              <w:ind w:firstLine="0"/>
              <w:jc w:val="both"/>
            </w:pPr>
            <w:r w:rsidRPr="00CD6AA7">
              <w:t>Примечание:</w:t>
            </w:r>
          </w:p>
          <w:p w:rsidR="0074319E" w:rsidRDefault="0074319E" w:rsidP="0097734A">
            <w:pPr>
              <w:pStyle w:val="a5"/>
              <w:ind w:left="0" w:firstLine="0"/>
              <w:jc w:val="both"/>
            </w:pPr>
            <w:r w:rsidRPr="00CD6AA7">
              <w:t xml:space="preserve">* - по данным социологического исследования состояния межнациональных и межконфессиональных отношений </w:t>
            </w:r>
            <w:proofErr w:type="gramStart"/>
            <w:r w:rsidRPr="00CD6AA7">
              <w:t>в</w:t>
            </w:r>
            <w:proofErr w:type="gramEnd"/>
            <w:r w:rsidRPr="00CD6AA7">
              <w:t xml:space="preserve"> </w:t>
            </w:r>
            <w:proofErr w:type="gramStart"/>
            <w:r w:rsidRPr="00CD6AA7">
              <w:t>Ханты-Мансийском</w:t>
            </w:r>
            <w:proofErr w:type="gramEnd"/>
            <w:r w:rsidRPr="00CD6AA7">
              <w:t xml:space="preserve"> автономном округе – Югре.</w:t>
            </w:r>
          </w:p>
          <w:p w:rsidR="0074319E" w:rsidRPr="00F12A4D" w:rsidRDefault="0074319E" w:rsidP="0097734A">
            <w:pPr>
              <w:jc w:val="center"/>
              <w:rPr>
                <w:i/>
              </w:rPr>
            </w:pPr>
            <w:r w:rsidRPr="00F12A4D">
              <w:rPr>
                <w:i/>
              </w:rPr>
              <w:t>(в редакции постановлен</w:t>
            </w:r>
            <w:r>
              <w:rPr>
                <w:i/>
              </w:rPr>
              <w:t xml:space="preserve">ия администрации  города Урай </w:t>
            </w:r>
            <w:r w:rsidRPr="00F12A4D">
              <w:rPr>
                <w:i/>
              </w:rPr>
              <w:t>от 30.07.2018 №1912)</w:t>
            </w:r>
          </w:p>
        </w:tc>
      </w:tr>
    </w:tbl>
    <w:p w:rsidR="009A6EF1" w:rsidRDefault="009A6EF1"/>
    <w:sectPr w:rsidR="009A6EF1" w:rsidSect="00175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4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7F" w:rsidRDefault="002B627F" w:rsidP="00844367">
      <w:r>
        <w:separator/>
      </w:r>
    </w:p>
  </w:endnote>
  <w:endnote w:type="continuationSeparator" w:id="0">
    <w:p w:rsidR="002B627F" w:rsidRDefault="002B627F" w:rsidP="0084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7" w:rsidRDefault="008443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31365"/>
      <w:docPartObj>
        <w:docPartGallery w:val="Page Numbers (Bottom of Page)"/>
        <w:docPartUnique/>
      </w:docPartObj>
    </w:sdtPr>
    <w:sdtContent>
      <w:p w:rsidR="00844367" w:rsidRDefault="00FF4844">
        <w:pPr>
          <w:pStyle w:val="a9"/>
          <w:jc w:val="right"/>
        </w:pPr>
        <w:fldSimple w:instr=" PAGE   \* MERGEFORMAT ">
          <w:r w:rsidR="001750AC">
            <w:rPr>
              <w:noProof/>
            </w:rPr>
            <w:t>461</w:t>
          </w:r>
        </w:fldSimple>
      </w:p>
    </w:sdtContent>
  </w:sdt>
  <w:p w:rsidR="00844367" w:rsidRDefault="008443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7" w:rsidRDefault="008443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7F" w:rsidRDefault="002B627F" w:rsidP="00844367">
      <w:r>
        <w:separator/>
      </w:r>
    </w:p>
  </w:footnote>
  <w:footnote w:type="continuationSeparator" w:id="0">
    <w:p w:rsidR="002B627F" w:rsidRDefault="002B627F" w:rsidP="0084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7" w:rsidRDefault="008443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7" w:rsidRDefault="008443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7" w:rsidRDefault="008443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19E"/>
    <w:rsid w:val="001750AC"/>
    <w:rsid w:val="002B477A"/>
    <w:rsid w:val="002B627F"/>
    <w:rsid w:val="00592F22"/>
    <w:rsid w:val="0074319E"/>
    <w:rsid w:val="00844367"/>
    <w:rsid w:val="00880712"/>
    <w:rsid w:val="008E5064"/>
    <w:rsid w:val="009A6EF1"/>
    <w:rsid w:val="00BF1339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319E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74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4319E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74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4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4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99CDDE72A0794CF6463AB7D81D4EC545E9C9FFDAA429DF2F0214790431C8123555B7EC5AE6A2B31EDA4cCXA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5</cp:revision>
  <dcterms:created xsi:type="dcterms:W3CDTF">2018-10-20T07:40:00Z</dcterms:created>
  <dcterms:modified xsi:type="dcterms:W3CDTF">2018-11-01T12:12:00Z</dcterms:modified>
</cp:coreProperties>
</file>